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E41B32" w:rsidRPr="008D2306" w:rsidRDefault="00BA71DF" w:rsidP="00E41B32">
      <w:pPr>
        <w:spacing w:after="160" w:line="259" w:lineRule="auto"/>
        <w:jc w:val="center"/>
        <w:rPr>
          <w:rFonts w:ascii="Times New Roman" w:eastAsia="Arial" w:hAnsi="Times New Roman" w:cs="Times New Roman"/>
          <w:b/>
          <w:sz w:val="32"/>
          <w:szCs w:val="32"/>
        </w:rPr>
      </w:pPr>
      <w:r w:rsidRPr="008D2306">
        <w:rPr>
          <w:rFonts w:ascii="Times New Roman" w:eastAsia="Arial" w:hAnsi="Times New Roman" w:cs="Times New Roman"/>
          <w:b/>
          <w:noProof/>
          <w:sz w:val="32"/>
          <w:szCs w:val="32"/>
        </w:rPr>
        <mc:AlternateContent>
          <mc:Choice Requires="wps">
            <w:drawing>
              <wp:anchor distT="0" distB="0" distL="114300" distR="114300" simplePos="0" relativeHeight="251659264" behindDoc="0" locked="0" layoutInCell="1" allowOverlap="1">
                <wp:simplePos x="0" y="0"/>
                <wp:positionH relativeFrom="column">
                  <wp:posOffset>692785</wp:posOffset>
                </wp:positionH>
                <wp:positionV relativeFrom="paragraph">
                  <wp:posOffset>353695</wp:posOffset>
                </wp:positionV>
                <wp:extent cx="4324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4324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645E11A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55pt,27.85pt" to="395.0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" strokecolor="#4579b8 [3044]"/>
            </w:pict>
          </mc:Fallback>
        </mc:AlternateContent>
      </w:r>
      <w:r w:rsidR="00E41B32" w:rsidRPr="008D2306">
        <w:rPr>
          <w:rFonts w:ascii="Times New Roman" w:eastAsia="Arial" w:hAnsi="Times New Roman" w:cs="Times New Roman"/>
          <w:b/>
          <w:sz w:val="32"/>
          <w:szCs w:val="32"/>
        </w:rPr>
        <w:t>BỘ</w:t>
      </w:r>
      <w:r w:rsidR="00E16D6E" w:rsidRPr="008D2306">
        <w:rPr>
          <w:rFonts w:ascii="Times New Roman" w:eastAsia="Arial" w:hAnsi="Times New Roman" w:cs="Times New Roman"/>
          <w:b/>
          <w:sz w:val="32"/>
          <w:szCs w:val="32"/>
        </w:rPr>
        <w:t xml:space="preserve"> LAO ĐỘ</w:t>
      </w:r>
      <w:r w:rsidRPr="008D2306">
        <w:rPr>
          <w:rFonts w:ascii="Times New Roman" w:eastAsia="Arial" w:hAnsi="Times New Roman" w:cs="Times New Roman"/>
          <w:b/>
          <w:sz w:val="32"/>
          <w:szCs w:val="32"/>
        </w:rPr>
        <w:t>NG -</w:t>
      </w:r>
      <w:r w:rsidR="00E16D6E" w:rsidRPr="008D2306">
        <w:rPr>
          <w:rFonts w:ascii="Times New Roman" w:eastAsia="Arial" w:hAnsi="Times New Roman" w:cs="Times New Roman"/>
          <w:b/>
          <w:sz w:val="32"/>
          <w:szCs w:val="32"/>
        </w:rPr>
        <w:t xml:space="preserve"> THƯƠNG BINH VÀ XÃ HỘI</w:t>
      </w: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BA71DF" w:rsidRPr="00BA71DF" w:rsidRDefault="00E16D6E" w:rsidP="00E41B32">
      <w:pPr>
        <w:spacing w:after="160" w:line="259" w:lineRule="auto"/>
        <w:jc w:val="center"/>
        <w:rPr>
          <w:rFonts w:ascii="Times New Roman" w:eastAsia="Arial" w:hAnsi="Times New Roman" w:cs="Times New Roman"/>
          <w:b/>
          <w:sz w:val="36"/>
          <w:szCs w:val="36"/>
        </w:rPr>
      </w:pPr>
      <w:r w:rsidRPr="00BA71DF">
        <w:rPr>
          <w:rFonts w:ascii="Times New Roman" w:eastAsia="Arial" w:hAnsi="Times New Roman" w:cs="Times New Roman"/>
          <w:b/>
          <w:sz w:val="36"/>
          <w:szCs w:val="36"/>
        </w:rPr>
        <w:t xml:space="preserve">TỔNG QUAN </w:t>
      </w:r>
    </w:p>
    <w:p w:rsidR="002C7E1F" w:rsidRDefault="00E16D6E" w:rsidP="002C7E1F">
      <w:pPr>
        <w:spacing w:after="60" w:line="259" w:lineRule="auto"/>
        <w:jc w:val="center"/>
        <w:rPr>
          <w:rFonts w:ascii="Times New Roman" w:eastAsia="Arial" w:hAnsi="Times New Roman" w:cs="Times New Roman"/>
          <w:b/>
          <w:sz w:val="30"/>
          <w:szCs w:val="30"/>
        </w:rPr>
      </w:pPr>
      <w:r w:rsidRPr="00BA71DF">
        <w:rPr>
          <w:rFonts w:ascii="Times New Roman" w:eastAsia="Arial" w:hAnsi="Times New Roman" w:cs="Times New Roman"/>
          <w:b/>
          <w:sz w:val="30"/>
          <w:szCs w:val="30"/>
        </w:rPr>
        <w:t xml:space="preserve">KINH NGHIỆM QUỐC TẾ VỀ BẢO HIỂM XÃ HỘI </w:t>
      </w:r>
    </w:p>
    <w:p w:rsidR="00E41B32" w:rsidRPr="00BA71DF" w:rsidRDefault="00E41B32" w:rsidP="002C7E1F">
      <w:pPr>
        <w:spacing w:after="0" w:line="259" w:lineRule="auto"/>
        <w:jc w:val="center"/>
        <w:rPr>
          <w:rFonts w:ascii="Times New Roman" w:eastAsia="Arial" w:hAnsi="Times New Roman" w:cs="Times New Roman"/>
          <w:b/>
          <w:sz w:val="30"/>
          <w:szCs w:val="30"/>
        </w:rPr>
      </w:pPr>
      <w:r w:rsidRPr="00BA71DF">
        <w:rPr>
          <w:rFonts w:ascii="Times New Roman" w:eastAsia="Arial" w:hAnsi="Times New Roman" w:cs="Times New Roman"/>
          <w:b/>
          <w:sz w:val="30"/>
          <w:szCs w:val="30"/>
        </w:rPr>
        <w:t>CỦA MỘT SỐ NƯỚC</w:t>
      </w:r>
      <w:r w:rsidR="002C7E1F">
        <w:rPr>
          <w:rFonts w:ascii="Times New Roman" w:eastAsia="Arial" w:hAnsi="Times New Roman" w:cs="Times New Roman"/>
          <w:b/>
          <w:sz w:val="30"/>
          <w:szCs w:val="30"/>
        </w:rPr>
        <w:t xml:space="preserve"> TRÊN THẾ GIỚI</w:t>
      </w: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E41B32" w:rsidRPr="008354C2" w:rsidRDefault="00E41B32" w:rsidP="00E41B32">
      <w:pPr>
        <w:spacing w:after="160" w:line="259" w:lineRule="auto"/>
        <w:jc w:val="center"/>
        <w:rPr>
          <w:rFonts w:ascii="Times New Roman" w:eastAsia="Arial" w:hAnsi="Times New Roman" w:cs="Times New Roman"/>
          <w:b/>
          <w:sz w:val="28"/>
          <w:szCs w:val="28"/>
        </w:rPr>
      </w:pPr>
    </w:p>
    <w:p w:rsidR="008928C1" w:rsidRPr="008354C2" w:rsidRDefault="008928C1" w:rsidP="00E41B32">
      <w:pPr>
        <w:jc w:val="center"/>
        <w:rPr>
          <w:rFonts w:ascii="Times New Roman" w:eastAsia="Arial" w:hAnsi="Times New Roman" w:cs="Times New Roman"/>
          <w:i/>
          <w:sz w:val="28"/>
          <w:szCs w:val="28"/>
        </w:rPr>
      </w:pPr>
    </w:p>
    <w:p w:rsidR="0063121A" w:rsidRPr="00BA71DF" w:rsidRDefault="00E41B32" w:rsidP="00E41B32">
      <w:pPr>
        <w:jc w:val="center"/>
        <w:rPr>
          <w:rFonts w:ascii="Times New Roman" w:eastAsia="Arial" w:hAnsi="Times New Roman" w:cs="Times New Roman"/>
          <w:b/>
          <w:sz w:val="28"/>
          <w:szCs w:val="28"/>
        </w:rPr>
      </w:pPr>
      <w:r w:rsidRPr="006017DE">
        <w:rPr>
          <w:rFonts w:ascii="Times New Roman" w:eastAsia="Arial" w:hAnsi="Times New Roman" w:cs="Times New Roman"/>
          <w:b/>
          <w:sz w:val="28"/>
          <w:szCs w:val="28"/>
        </w:rPr>
        <w:t xml:space="preserve">Hà Nội, tháng </w:t>
      </w:r>
      <w:r w:rsidR="00420773">
        <w:rPr>
          <w:rFonts w:ascii="Times New Roman" w:eastAsia="Arial" w:hAnsi="Times New Roman" w:cs="Times New Roman"/>
          <w:b/>
          <w:sz w:val="28"/>
          <w:szCs w:val="28"/>
        </w:rPr>
        <w:t>5</w:t>
      </w:r>
      <w:r w:rsidRPr="006017DE">
        <w:rPr>
          <w:rFonts w:ascii="Times New Roman" w:eastAsia="Arial" w:hAnsi="Times New Roman" w:cs="Times New Roman"/>
          <w:b/>
          <w:sz w:val="28"/>
          <w:szCs w:val="28"/>
        </w:rPr>
        <w:t xml:space="preserve"> năm 202</w:t>
      </w:r>
      <w:r w:rsidR="00BA71DF" w:rsidRPr="006017DE">
        <w:rPr>
          <w:rFonts w:ascii="Times New Roman" w:eastAsia="Arial" w:hAnsi="Times New Roman" w:cs="Times New Roman"/>
          <w:b/>
          <w:sz w:val="28"/>
          <w:szCs w:val="28"/>
        </w:rPr>
        <w:t>3</w:t>
      </w:r>
    </w:p>
    <w:p w:rsidR="00BA71DF" w:rsidRDefault="00BA71DF">
      <w:pPr>
        <w:rPr>
          <w:rFonts w:ascii="Times New Roman" w:eastAsia="Arial" w:hAnsi="Times New Roman" w:cs="Times New Roman"/>
          <w:b/>
          <w:sz w:val="28"/>
        </w:rPr>
      </w:pPr>
      <w:r>
        <w:rPr>
          <w:rFonts w:ascii="Times New Roman" w:eastAsia="Arial" w:hAnsi="Times New Roman" w:cs="Times New Roman"/>
          <w:b/>
          <w:sz w:val="28"/>
        </w:rPr>
        <w:br w:type="page"/>
      </w:r>
    </w:p>
    <w:p w:rsidR="00DF0A17" w:rsidRPr="008354C2" w:rsidRDefault="00DF0A17" w:rsidP="004774EE">
      <w:pPr>
        <w:spacing w:after="120" w:line="259" w:lineRule="auto"/>
        <w:jc w:val="center"/>
        <w:rPr>
          <w:rFonts w:ascii="Times New Roman" w:eastAsia="Arial" w:hAnsi="Times New Roman" w:cs="Times New Roman"/>
          <w:b/>
          <w:sz w:val="28"/>
        </w:rPr>
      </w:pPr>
      <w:r w:rsidRPr="008354C2">
        <w:rPr>
          <w:rFonts w:ascii="Times New Roman" w:eastAsia="Arial" w:hAnsi="Times New Roman" w:cs="Times New Roman"/>
          <w:b/>
          <w:sz w:val="28"/>
        </w:rPr>
        <w:lastRenderedPageBreak/>
        <w:t>PHẦN MỞ ĐẦ</w:t>
      </w:r>
      <w:r w:rsidR="007745BC" w:rsidRPr="008354C2">
        <w:rPr>
          <w:rFonts w:ascii="Times New Roman" w:eastAsia="Arial" w:hAnsi="Times New Roman" w:cs="Times New Roman"/>
          <w:b/>
          <w:sz w:val="28"/>
        </w:rPr>
        <w:t>U</w:t>
      </w:r>
    </w:p>
    <w:p w:rsidR="00842345" w:rsidRDefault="004B41AF" w:rsidP="003A3C8B">
      <w:pPr>
        <w:tabs>
          <w:tab w:val="left" w:pos="851"/>
        </w:tabs>
        <w:spacing w:before="60" w:after="60"/>
        <w:ind w:firstLine="567"/>
        <w:jc w:val="both"/>
        <w:rPr>
          <w:rFonts w:ascii="Times New Roman" w:hAnsi="Times New Roman" w:cs="Times New Roman"/>
          <w:sz w:val="28"/>
          <w:szCs w:val="28"/>
        </w:rPr>
      </w:pPr>
      <w:r w:rsidRPr="008354C2">
        <w:rPr>
          <w:rFonts w:ascii="Times New Roman" w:hAnsi="Times New Roman" w:cs="Times New Roman"/>
          <w:sz w:val="28"/>
          <w:szCs w:val="28"/>
        </w:rPr>
        <w:t xml:space="preserve">Bản </w:t>
      </w:r>
      <w:r w:rsidR="00842345">
        <w:rPr>
          <w:rFonts w:ascii="Times New Roman" w:hAnsi="Times New Roman" w:cs="Times New Roman"/>
          <w:sz w:val="28"/>
          <w:szCs w:val="28"/>
        </w:rPr>
        <w:t>tổng quan kinh nghiệm quốc tế về bảo hiểm xã hội (BHXH) các nước</w:t>
      </w:r>
      <w:r w:rsidRPr="008354C2">
        <w:rPr>
          <w:rFonts w:ascii="Times New Roman" w:hAnsi="Times New Roman" w:cs="Times New Roman"/>
          <w:sz w:val="28"/>
          <w:szCs w:val="28"/>
        </w:rPr>
        <w:t xml:space="preserve"> </w:t>
      </w:r>
      <w:r w:rsidR="00BA71DF">
        <w:rPr>
          <w:rFonts w:ascii="Times New Roman" w:hAnsi="Times New Roman" w:cs="Times New Roman"/>
          <w:sz w:val="28"/>
          <w:szCs w:val="28"/>
        </w:rPr>
        <w:t xml:space="preserve">trên thế giới </w:t>
      </w:r>
      <w:r w:rsidRPr="008354C2">
        <w:rPr>
          <w:rFonts w:ascii="Times New Roman" w:hAnsi="Times New Roman" w:cs="Times New Roman"/>
          <w:sz w:val="28"/>
          <w:szCs w:val="28"/>
        </w:rPr>
        <w:t xml:space="preserve">xây dựng dựa trên </w:t>
      </w:r>
      <w:r w:rsidR="00842345">
        <w:rPr>
          <w:rFonts w:ascii="Times New Roman" w:hAnsi="Times New Roman" w:cs="Times New Roman"/>
          <w:sz w:val="28"/>
          <w:szCs w:val="28"/>
        </w:rPr>
        <w:t>tổng hợp kinh nghiệm về bảo hiểm xã hội khoảng 30 nước, bao gồm các nhóm</w:t>
      </w:r>
      <w:r w:rsidRPr="008354C2">
        <w:rPr>
          <w:rFonts w:ascii="Times New Roman" w:hAnsi="Times New Roman" w:cs="Times New Roman"/>
          <w:sz w:val="28"/>
          <w:szCs w:val="28"/>
        </w:rPr>
        <w:t>: (i) các nước ASEAN (Thái Lan, Philippines, Singapore, Malaysia</w:t>
      </w:r>
      <w:r w:rsidR="00842345">
        <w:rPr>
          <w:rFonts w:ascii="Times New Roman" w:hAnsi="Times New Roman" w:cs="Times New Roman"/>
          <w:sz w:val="28"/>
          <w:szCs w:val="28"/>
        </w:rPr>
        <w:t>…</w:t>
      </w:r>
      <w:r w:rsidRPr="008354C2">
        <w:rPr>
          <w:rFonts w:ascii="Times New Roman" w:hAnsi="Times New Roman" w:cs="Times New Roman"/>
          <w:sz w:val="28"/>
          <w:szCs w:val="28"/>
        </w:rPr>
        <w:t>); (ii) các nước Châu Á khác (</w:t>
      </w:r>
      <w:r w:rsidR="00842345">
        <w:rPr>
          <w:rFonts w:ascii="Times New Roman" w:hAnsi="Times New Roman" w:cs="Times New Roman"/>
          <w:sz w:val="28"/>
          <w:szCs w:val="28"/>
        </w:rPr>
        <w:t xml:space="preserve">Nhật Bản, </w:t>
      </w:r>
      <w:r w:rsidRPr="008354C2">
        <w:rPr>
          <w:rFonts w:ascii="Times New Roman" w:hAnsi="Times New Roman" w:cs="Times New Roman"/>
          <w:sz w:val="28"/>
          <w:szCs w:val="28"/>
        </w:rPr>
        <w:t xml:space="preserve">Trung Quốc, Hàn Quốc); (iii) các nước </w:t>
      </w:r>
      <w:r w:rsidR="00842345">
        <w:rPr>
          <w:rFonts w:ascii="Times New Roman" w:hAnsi="Times New Roman" w:cs="Times New Roman"/>
          <w:sz w:val="28"/>
          <w:szCs w:val="28"/>
        </w:rPr>
        <w:t>Châu Âu</w:t>
      </w:r>
      <w:r w:rsidRPr="008354C2">
        <w:rPr>
          <w:rFonts w:ascii="Times New Roman" w:hAnsi="Times New Roman" w:cs="Times New Roman"/>
          <w:sz w:val="28"/>
          <w:szCs w:val="28"/>
        </w:rPr>
        <w:t xml:space="preserve"> (</w:t>
      </w:r>
      <w:r w:rsidR="00842345">
        <w:rPr>
          <w:rFonts w:ascii="Times New Roman" w:hAnsi="Times New Roman" w:cs="Times New Roman"/>
          <w:sz w:val="28"/>
          <w:szCs w:val="28"/>
        </w:rPr>
        <w:t xml:space="preserve">Pháp, </w:t>
      </w:r>
      <w:r w:rsidRPr="008354C2">
        <w:rPr>
          <w:rFonts w:ascii="Times New Roman" w:hAnsi="Times New Roman" w:cs="Times New Roman"/>
          <w:sz w:val="28"/>
          <w:szCs w:val="28"/>
        </w:rPr>
        <w:t>Đứ</w:t>
      </w:r>
      <w:r w:rsidR="00D12458" w:rsidRPr="008354C2">
        <w:rPr>
          <w:rFonts w:ascii="Times New Roman" w:hAnsi="Times New Roman" w:cs="Times New Roman"/>
          <w:sz w:val="28"/>
          <w:szCs w:val="28"/>
        </w:rPr>
        <w:t xml:space="preserve">c, Hà Lan, </w:t>
      </w:r>
      <w:r w:rsidR="00842345">
        <w:rPr>
          <w:rFonts w:ascii="Times New Roman" w:hAnsi="Times New Roman" w:cs="Times New Roman"/>
          <w:sz w:val="28"/>
          <w:szCs w:val="28"/>
        </w:rPr>
        <w:t>Séc, Ý, Anh…</w:t>
      </w:r>
      <w:r w:rsidRPr="008354C2">
        <w:rPr>
          <w:rFonts w:ascii="Times New Roman" w:hAnsi="Times New Roman" w:cs="Times New Roman"/>
          <w:sz w:val="28"/>
          <w:szCs w:val="28"/>
        </w:rPr>
        <w:t>)</w:t>
      </w:r>
      <w:r w:rsidR="00842345">
        <w:rPr>
          <w:rFonts w:ascii="Times New Roman" w:hAnsi="Times New Roman" w:cs="Times New Roman"/>
          <w:sz w:val="28"/>
          <w:szCs w:val="28"/>
        </w:rPr>
        <w:t>; (iv) các nước Châu Mỹ (Mỹ, Canada, Braxin,…)</w:t>
      </w:r>
      <w:r w:rsidRPr="008354C2">
        <w:rPr>
          <w:rFonts w:ascii="Times New Roman" w:hAnsi="Times New Roman" w:cs="Times New Roman"/>
          <w:sz w:val="28"/>
          <w:szCs w:val="28"/>
        </w:rPr>
        <w:t xml:space="preserve">. </w:t>
      </w:r>
    </w:p>
    <w:p w:rsidR="00842345" w:rsidRDefault="00842345" w:rsidP="003A3C8B">
      <w:pPr>
        <w:tabs>
          <w:tab w:val="left" w:pos="851"/>
        </w:tabs>
        <w:spacing w:before="60" w:after="60"/>
        <w:ind w:firstLine="567"/>
        <w:jc w:val="both"/>
        <w:rPr>
          <w:rFonts w:ascii="Times New Roman" w:hAnsi="Times New Roman" w:cs="Times New Roman"/>
          <w:sz w:val="28"/>
          <w:szCs w:val="28"/>
        </w:rPr>
      </w:pPr>
      <w:r>
        <w:rPr>
          <w:rFonts w:ascii="Times New Roman" w:hAnsi="Times New Roman" w:cs="Times New Roman"/>
          <w:sz w:val="28"/>
          <w:szCs w:val="28"/>
        </w:rPr>
        <w:t>Việc tổng quan kinh nghiệm các nước được nghiên cứu dựa trên các</w:t>
      </w:r>
      <w:r w:rsidR="005B0390">
        <w:rPr>
          <w:rFonts w:ascii="Times New Roman" w:hAnsi="Times New Roman" w:cs="Times New Roman"/>
          <w:sz w:val="28"/>
          <w:szCs w:val="28"/>
        </w:rPr>
        <w:t xml:space="preserve"> nhóm nội dung</w:t>
      </w:r>
      <w:r>
        <w:rPr>
          <w:rFonts w:ascii="Times New Roman" w:hAnsi="Times New Roman" w:cs="Times New Roman"/>
          <w:sz w:val="28"/>
          <w:szCs w:val="28"/>
        </w:rPr>
        <w:t>: (i) Vấn đề xây dựng BHXH đa tầng; (ii) Vấn đề mở rộng đối tượng tham gia BHXH; (iii) Vấn đề quy định các chế tài nhằm giảm tình trạng chậm đóng, trốn đóng BHXH; (iv) Vấn đề quy định việc nhận BHXH một lần…</w:t>
      </w:r>
      <w:r w:rsidR="00BA71DF">
        <w:rPr>
          <w:rFonts w:ascii="Times New Roman" w:hAnsi="Times New Roman" w:cs="Times New Roman"/>
          <w:sz w:val="28"/>
          <w:szCs w:val="28"/>
        </w:rPr>
        <w:t xml:space="preserve"> </w:t>
      </w:r>
      <w:r w:rsidR="004B41AF" w:rsidRPr="008354C2">
        <w:rPr>
          <w:rFonts w:ascii="Times New Roman" w:hAnsi="Times New Roman" w:cs="Times New Roman"/>
          <w:sz w:val="28"/>
          <w:szCs w:val="28"/>
        </w:rPr>
        <w:t>Đây là nh</w:t>
      </w:r>
      <w:r>
        <w:rPr>
          <w:rFonts w:ascii="Times New Roman" w:hAnsi="Times New Roman" w:cs="Times New Roman"/>
          <w:sz w:val="28"/>
          <w:szCs w:val="28"/>
        </w:rPr>
        <w:t xml:space="preserve">ững vấn đề Việt Nam cần nghiên cứu, </w:t>
      </w:r>
      <w:r w:rsidR="005B0390">
        <w:rPr>
          <w:rFonts w:ascii="Times New Roman" w:hAnsi="Times New Roman" w:cs="Times New Roman"/>
          <w:sz w:val="28"/>
          <w:szCs w:val="28"/>
        </w:rPr>
        <w:t xml:space="preserve">tham khảo để </w:t>
      </w:r>
      <w:r>
        <w:rPr>
          <w:rFonts w:ascii="Times New Roman" w:hAnsi="Times New Roman" w:cs="Times New Roman"/>
          <w:sz w:val="28"/>
          <w:szCs w:val="28"/>
        </w:rPr>
        <w:t xml:space="preserve">xây dựng, quy định trong dự thảo Luật </w:t>
      </w:r>
      <w:r w:rsidR="005B0390">
        <w:rPr>
          <w:rFonts w:ascii="Times New Roman" w:hAnsi="Times New Roman" w:cs="Times New Roman"/>
          <w:sz w:val="28"/>
          <w:szCs w:val="28"/>
        </w:rPr>
        <w:t xml:space="preserve">Bảo hiểm xã hội sửa đổi </w:t>
      </w:r>
      <w:r>
        <w:rPr>
          <w:rFonts w:ascii="Times New Roman" w:hAnsi="Times New Roman" w:cs="Times New Roman"/>
          <w:sz w:val="28"/>
          <w:szCs w:val="28"/>
        </w:rPr>
        <w:t>lần này.</w:t>
      </w:r>
    </w:p>
    <w:p w:rsidR="00960567" w:rsidRDefault="004B41AF" w:rsidP="003A3C8B">
      <w:pPr>
        <w:tabs>
          <w:tab w:val="left" w:pos="851"/>
        </w:tabs>
        <w:spacing w:before="60" w:after="60"/>
        <w:ind w:firstLine="567"/>
        <w:jc w:val="both"/>
        <w:rPr>
          <w:rFonts w:ascii="Times New Roman" w:hAnsi="Times New Roman" w:cs="Times New Roman"/>
          <w:sz w:val="28"/>
          <w:szCs w:val="28"/>
        </w:rPr>
      </w:pPr>
      <w:r w:rsidRPr="008354C2">
        <w:rPr>
          <w:rFonts w:ascii="Times New Roman" w:hAnsi="Times New Roman" w:cs="Times New Roman"/>
          <w:sz w:val="28"/>
          <w:szCs w:val="28"/>
        </w:rPr>
        <w:t xml:space="preserve">Nội dung của Bản </w:t>
      </w:r>
      <w:r w:rsidR="00842345">
        <w:rPr>
          <w:rFonts w:ascii="Times New Roman" w:hAnsi="Times New Roman" w:cs="Times New Roman"/>
          <w:sz w:val="28"/>
          <w:szCs w:val="28"/>
        </w:rPr>
        <w:t>tổng quan kinh nghiệm quốc tế về BHXH các nước</w:t>
      </w:r>
      <w:r w:rsidRPr="008354C2">
        <w:rPr>
          <w:rFonts w:ascii="Times New Roman" w:hAnsi="Times New Roman" w:cs="Times New Roman"/>
          <w:sz w:val="28"/>
          <w:szCs w:val="28"/>
        </w:rPr>
        <w:t xml:space="preserve"> bao gồm hai (02) phần, trong đó, </w:t>
      </w:r>
      <w:r w:rsidRPr="008354C2">
        <w:rPr>
          <w:rFonts w:ascii="Times New Roman" w:hAnsi="Times New Roman" w:cs="Times New Roman"/>
          <w:b/>
          <w:sz w:val="28"/>
          <w:szCs w:val="28"/>
        </w:rPr>
        <w:t xml:space="preserve">phần thứ nhất </w:t>
      </w:r>
      <w:r w:rsidRPr="008354C2">
        <w:rPr>
          <w:rFonts w:ascii="Times New Roman" w:hAnsi="Times New Roman" w:cs="Times New Roman"/>
          <w:sz w:val="28"/>
          <w:szCs w:val="28"/>
        </w:rPr>
        <w:t>là những đánh giá tổng quan về</w:t>
      </w:r>
      <w:r w:rsidR="00842345">
        <w:rPr>
          <w:rFonts w:ascii="Times New Roman" w:hAnsi="Times New Roman" w:cs="Times New Roman"/>
          <w:sz w:val="28"/>
          <w:szCs w:val="28"/>
        </w:rPr>
        <w:t xml:space="preserve"> bảo hiểm xã hội</w:t>
      </w:r>
      <w:r w:rsidRPr="008354C2">
        <w:rPr>
          <w:rFonts w:ascii="Times New Roman" w:hAnsi="Times New Roman" w:cs="Times New Roman"/>
          <w:sz w:val="28"/>
          <w:szCs w:val="28"/>
        </w:rPr>
        <w:t xml:space="preserve">; và </w:t>
      </w:r>
      <w:r w:rsidRPr="008354C2">
        <w:rPr>
          <w:rFonts w:ascii="Times New Roman" w:hAnsi="Times New Roman" w:cs="Times New Roman"/>
          <w:b/>
          <w:sz w:val="28"/>
          <w:szCs w:val="28"/>
        </w:rPr>
        <w:t xml:space="preserve">phần thứ hai </w:t>
      </w:r>
      <w:r w:rsidRPr="008354C2">
        <w:rPr>
          <w:rFonts w:ascii="Times New Roman" w:hAnsi="Times New Roman" w:cs="Times New Roman"/>
          <w:sz w:val="28"/>
          <w:szCs w:val="28"/>
        </w:rPr>
        <w:t>tập trung nghiên cứu quy định cụ thể của các nước được khảo sát trên cơ sở</w:t>
      </w:r>
      <w:r w:rsidR="00842345">
        <w:rPr>
          <w:rFonts w:ascii="Times New Roman" w:hAnsi="Times New Roman" w:cs="Times New Roman"/>
          <w:sz w:val="28"/>
          <w:szCs w:val="28"/>
        </w:rPr>
        <w:t xml:space="preserve"> nghiên cứu tổng hợp tài liệu về quy định của các nước.</w:t>
      </w:r>
    </w:p>
    <w:p w:rsidR="00DF0A17" w:rsidRPr="008354C2" w:rsidRDefault="00DF0A17" w:rsidP="004774EE">
      <w:pPr>
        <w:spacing w:after="120" w:line="259" w:lineRule="auto"/>
        <w:jc w:val="center"/>
        <w:rPr>
          <w:rFonts w:ascii="Times New Roman" w:eastAsia="Arial" w:hAnsi="Times New Roman" w:cs="Times New Roman"/>
          <w:b/>
          <w:sz w:val="28"/>
        </w:rPr>
      </w:pPr>
    </w:p>
    <w:p w:rsidR="004774EE" w:rsidRDefault="004774EE" w:rsidP="00E41B32">
      <w:pPr>
        <w:jc w:val="center"/>
        <w:rPr>
          <w:rFonts w:ascii="Times New Roman" w:hAnsi="Times New Roman" w:cs="Times New Roman"/>
        </w:rPr>
      </w:pPr>
    </w:p>
    <w:p w:rsidR="00842345" w:rsidRDefault="00842345" w:rsidP="00E41B32">
      <w:pPr>
        <w:jc w:val="center"/>
        <w:rPr>
          <w:rFonts w:ascii="Times New Roman" w:hAnsi="Times New Roman" w:cs="Times New Roman"/>
        </w:rPr>
      </w:pPr>
    </w:p>
    <w:p w:rsidR="00842345" w:rsidRDefault="00842345" w:rsidP="00E41B32">
      <w:pPr>
        <w:jc w:val="center"/>
        <w:rPr>
          <w:rFonts w:ascii="Times New Roman" w:hAnsi="Times New Roman" w:cs="Times New Roman"/>
        </w:rPr>
      </w:pPr>
    </w:p>
    <w:p w:rsidR="00842345" w:rsidRDefault="00842345" w:rsidP="00E41B32">
      <w:pPr>
        <w:jc w:val="center"/>
        <w:rPr>
          <w:rFonts w:ascii="Times New Roman" w:hAnsi="Times New Roman" w:cs="Times New Roman"/>
        </w:rPr>
      </w:pPr>
    </w:p>
    <w:p w:rsidR="00842345" w:rsidRDefault="00842345" w:rsidP="00E41B32">
      <w:pPr>
        <w:jc w:val="center"/>
        <w:rPr>
          <w:rFonts w:ascii="Times New Roman" w:hAnsi="Times New Roman" w:cs="Times New Roman"/>
        </w:rPr>
      </w:pPr>
    </w:p>
    <w:p w:rsidR="00842345" w:rsidRDefault="00842345" w:rsidP="00E41B32">
      <w:pPr>
        <w:jc w:val="center"/>
        <w:rPr>
          <w:rFonts w:ascii="Times New Roman" w:hAnsi="Times New Roman" w:cs="Times New Roman"/>
        </w:rPr>
      </w:pPr>
    </w:p>
    <w:p w:rsidR="00842345" w:rsidRDefault="00842345" w:rsidP="00E41B32">
      <w:pPr>
        <w:jc w:val="center"/>
        <w:rPr>
          <w:rFonts w:ascii="Times New Roman" w:hAnsi="Times New Roman" w:cs="Times New Roman"/>
        </w:rPr>
      </w:pPr>
    </w:p>
    <w:p w:rsidR="00842345" w:rsidRDefault="00842345" w:rsidP="00E41B32">
      <w:pPr>
        <w:jc w:val="center"/>
        <w:rPr>
          <w:rFonts w:ascii="Times New Roman" w:hAnsi="Times New Roman" w:cs="Times New Roman"/>
        </w:rPr>
      </w:pPr>
    </w:p>
    <w:p w:rsidR="00842345" w:rsidRDefault="00842345" w:rsidP="00E41B32">
      <w:pPr>
        <w:jc w:val="center"/>
        <w:rPr>
          <w:rFonts w:ascii="Times New Roman" w:hAnsi="Times New Roman" w:cs="Times New Roman"/>
        </w:rPr>
      </w:pPr>
    </w:p>
    <w:p w:rsidR="00842345" w:rsidRPr="008354C2" w:rsidRDefault="00842345"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4774EE" w:rsidRPr="008354C2" w:rsidRDefault="004774EE" w:rsidP="00E41B32">
      <w:pPr>
        <w:jc w:val="center"/>
        <w:rPr>
          <w:rFonts w:ascii="Times New Roman" w:hAnsi="Times New Roman" w:cs="Times New Roman"/>
        </w:rPr>
      </w:pPr>
    </w:p>
    <w:p w:rsidR="00DF0A17" w:rsidRPr="004B4395" w:rsidRDefault="00DF0A17" w:rsidP="00DF0A17">
      <w:pPr>
        <w:spacing w:after="120"/>
        <w:jc w:val="center"/>
        <w:rPr>
          <w:rFonts w:ascii="Times New Roman" w:eastAsia="Calibri" w:hAnsi="Times New Roman" w:cs="Times New Roman"/>
          <w:b/>
          <w:sz w:val="28"/>
          <w:szCs w:val="28"/>
          <w:u w:val="single"/>
        </w:rPr>
      </w:pPr>
      <w:r w:rsidRPr="004B4395">
        <w:rPr>
          <w:rFonts w:ascii="Times New Roman" w:eastAsia="Calibri" w:hAnsi="Times New Roman" w:cs="Times New Roman"/>
          <w:b/>
          <w:sz w:val="28"/>
          <w:szCs w:val="28"/>
          <w:u w:val="single"/>
        </w:rPr>
        <w:t>PHẦN THỨ NHẤT</w:t>
      </w:r>
    </w:p>
    <w:p w:rsidR="009B5F58" w:rsidRPr="008354C2" w:rsidRDefault="00DF0A17" w:rsidP="009B5F58">
      <w:pPr>
        <w:jc w:val="center"/>
        <w:rPr>
          <w:rFonts w:ascii="Times New Roman" w:hAnsi="Times New Roman" w:cs="Times New Roman"/>
        </w:rPr>
      </w:pPr>
      <w:r w:rsidRPr="008354C2">
        <w:rPr>
          <w:rFonts w:ascii="Times New Roman" w:eastAsia="Calibri" w:hAnsi="Times New Roman" w:cs="Times New Roman"/>
          <w:b/>
          <w:sz w:val="28"/>
          <w:szCs w:val="28"/>
        </w:rPr>
        <w:t>ĐÁNH GIÁ TỔNG QUAN VỀ BẢO HIỂM</w:t>
      </w:r>
      <w:bookmarkStart w:id="1" w:name="_Toc1551634"/>
      <w:r w:rsidR="00E16D6E">
        <w:rPr>
          <w:rFonts w:ascii="Times New Roman" w:eastAsia="Calibri" w:hAnsi="Times New Roman" w:cs="Times New Roman"/>
          <w:b/>
          <w:sz w:val="28"/>
          <w:szCs w:val="28"/>
        </w:rPr>
        <w:t xml:space="preserve"> XÃ HỘI</w:t>
      </w:r>
    </w:p>
    <w:bookmarkEnd w:id="1"/>
    <w:p w:rsidR="00D55380" w:rsidRPr="00D55380" w:rsidRDefault="00D55380" w:rsidP="005E1C1C">
      <w:pPr>
        <w:spacing w:after="120"/>
        <w:ind w:firstLine="720"/>
        <w:jc w:val="both"/>
        <w:rPr>
          <w:rFonts w:ascii="Times New Roman" w:hAnsi="Times New Roman" w:cs="Times New Roman"/>
          <w:b/>
          <w:sz w:val="28"/>
          <w:szCs w:val="28"/>
        </w:rPr>
      </w:pPr>
      <w:r w:rsidRPr="00D55380">
        <w:rPr>
          <w:rFonts w:ascii="Times New Roman" w:hAnsi="Times New Roman" w:cs="Times New Roman"/>
          <w:b/>
          <w:sz w:val="28"/>
          <w:szCs w:val="28"/>
        </w:rPr>
        <w:t>I. QUAN NIỆM VỀ BẢO HIỂM XÃ HỘI VÀ CHÍNH SÁCH BẢO HIỂM XÃ HỘI</w:t>
      </w:r>
    </w:p>
    <w:p w:rsidR="00D55380" w:rsidRPr="00D55380" w:rsidRDefault="00D55380" w:rsidP="00D55380">
      <w:pPr>
        <w:spacing w:after="120"/>
        <w:ind w:firstLine="720"/>
        <w:rPr>
          <w:rFonts w:ascii="Times New Roman" w:hAnsi="Times New Roman" w:cs="Times New Roman"/>
          <w:b/>
          <w:sz w:val="28"/>
          <w:szCs w:val="28"/>
        </w:rPr>
      </w:pPr>
      <w:r w:rsidRPr="00D55380">
        <w:rPr>
          <w:rFonts w:ascii="Times New Roman" w:hAnsi="Times New Roman" w:cs="Times New Roman"/>
          <w:b/>
          <w:sz w:val="28"/>
          <w:szCs w:val="28"/>
        </w:rPr>
        <w:t>1. Quan niệm về Bảo hiểm xã hội và chính sách BHXH</w:t>
      </w:r>
    </w:p>
    <w:p w:rsidR="00D55380" w:rsidRPr="00D55380" w:rsidRDefault="00D55380" w:rsidP="00D55380">
      <w:pPr>
        <w:spacing w:after="120"/>
        <w:ind w:firstLine="720"/>
        <w:jc w:val="both"/>
        <w:rPr>
          <w:rFonts w:ascii="Times New Roman" w:hAnsi="Times New Roman" w:cs="Times New Roman"/>
          <w:sz w:val="28"/>
          <w:szCs w:val="28"/>
        </w:rPr>
      </w:pPr>
      <w:r w:rsidRPr="00D55380">
        <w:rPr>
          <w:rFonts w:ascii="Times New Roman" w:hAnsi="Times New Roman" w:cs="Times New Roman"/>
          <w:sz w:val="28"/>
          <w:szCs w:val="28"/>
        </w:rPr>
        <w:t xml:space="preserve">(1) Bảo hiểm xã hội là một quyền trong </w:t>
      </w:r>
      <w:r w:rsidR="005D762F">
        <w:rPr>
          <w:rFonts w:ascii="Times New Roman" w:hAnsi="Times New Roman" w:cs="Times New Roman"/>
          <w:sz w:val="28"/>
          <w:szCs w:val="28"/>
        </w:rPr>
        <w:t>những quyền con người cơ bản, được xếp vào nhóm quyền kinh tế, xã hội, văn hóa</w:t>
      </w:r>
      <w:r w:rsidR="005D762F">
        <w:rPr>
          <w:rStyle w:val="FootnoteReference"/>
          <w:rFonts w:ascii="Times New Roman" w:hAnsi="Times New Roman" w:cs="Times New Roman"/>
          <w:sz w:val="28"/>
          <w:szCs w:val="28"/>
        </w:rPr>
        <w:footnoteReference w:id="1"/>
      </w:r>
      <w:r w:rsidRPr="00D55380">
        <w:rPr>
          <w:rFonts w:ascii="Times New Roman" w:hAnsi="Times New Roman" w:cs="Times New Roman"/>
          <w:sz w:val="28"/>
          <w:szCs w:val="28"/>
        </w:rPr>
        <w:t xml:space="preserve">. Việc thiết kế chính sách BHXH trước hết phải đảm bảo người dân tiếp cận được đến bảo hiểm xã hội. Đăng ký tham gia bảo hiểm theo đó cũng là </w:t>
      </w:r>
      <w:r w:rsidR="006B2C00">
        <w:rPr>
          <w:rFonts w:ascii="Times New Roman" w:hAnsi="Times New Roman" w:cs="Times New Roman"/>
          <w:sz w:val="28"/>
          <w:szCs w:val="28"/>
        </w:rPr>
        <w:t>một</w:t>
      </w:r>
      <w:r w:rsidRPr="00D55380">
        <w:rPr>
          <w:rFonts w:ascii="Times New Roman" w:hAnsi="Times New Roman" w:cs="Times New Roman"/>
          <w:sz w:val="28"/>
          <w:szCs w:val="28"/>
        </w:rPr>
        <w:t xml:space="preserve"> quyền cần được luật hóa.</w:t>
      </w:r>
    </w:p>
    <w:p w:rsidR="00D55380" w:rsidRDefault="00D55380" w:rsidP="00D55380">
      <w:pPr>
        <w:spacing w:after="120"/>
        <w:ind w:firstLine="720"/>
        <w:jc w:val="both"/>
        <w:rPr>
          <w:rFonts w:ascii="Times New Roman" w:hAnsi="Times New Roman" w:cs="Times New Roman"/>
          <w:sz w:val="28"/>
          <w:szCs w:val="28"/>
        </w:rPr>
      </w:pPr>
      <w:r w:rsidRPr="00D55380">
        <w:rPr>
          <w:rFonts w:ascii="Times New Roman" w:hAnsi="Times New Roman" w:cs="Times New Roman"/>
          <w:sz w:val="28"/>
          <w:szCs w:val="28"/>
        </w:rPr>
        <w:t xml:space="preserve">(2) BHXH là một dịch vụ </w:t>
      </w:r>
      <w:r w:rsidRPr="003E711E">
        <w:rPr>
          <w:rFonts w:ascii="Times New Roman" w:hAnsi="Times New Roman" w:cs="Times New Roman"/>
          <w:sz w:val="28"/>
          <w:szCs w:val="28"/>
        </w:rPr>
        <w:t>công đơn thuần. Nhà</w:t>
      </w:r>
      <w:r w:rsidRPr="00D55380">
        <w:rPr>
          <w:rFonts w:ascii="Times New Roman" w:hAnsi="Times New Roman" w:cs="Times New Roman"/>
          <w:sz w:val="28"/>
          <w:szCs w:val="28"/>
        </w:rPr>
        <w:t xml:space="preserve"> nước có trách nhiệm và chức năng đảm bảo cung ứng dịch vụ công này. Việc cung cấp dịch vụ BHXH</w:t>
      </w:r>
      <w:r w:rsidR="009A1155">
        <w:rPr>
          <w:rFonts w:ascii="Times New Roman" w:hAnsi="Times New Roman" w:cs="Times New Roman"/>
          <w:sz w:val="28"/>
          <w:szCs w:val="28"/>
        </w:rPr>
        <w:t xml:space="preserve"> phải đảm bảo thuận lợi nhất cho người </w:t>
      </w:r>
      <w:r w:rsidRPr="00D55380">
        <w:rPr>
          <w:rFonts w:ascii="Times New Roman" w:hAnsi="Times New Roman" w:cs="Times New Roman"/>
          <w:sz w:val="28"/>
          <w:szCs w:val="28"/>
        </w:rPr>
        <w:t>dân và tổ chức.</w:t>
      </w:r>
    </w:p>
    <w:p w:rsidR="009A1155" w:rsidRDefault="009A1155" w:rsidP="00D55380">
      <w:pPr>
        <w:spacing w:after="120"/>
        <w:ind w:firstLine="720"/>
        <w:jc w:val="both"/>
        <w:rPr>
          <w:rFonts w:ascii="Times New Roman" w:hAnsi="Times New Roman" w:cs="Times New Roman"/>
          <w:sz w:val="28"/>
          <w:szCs w:val="28"/>
        </w:rPr>
      </w:pPr>
      <w:r>
        <w:rPr>
          <w:rFonts w:ascii="Times New Roman" w:hAnsi="Times New Roman" w:cs="Times New Roman"/>
          <w:sz w:val="28"/>
          <w:szCs w:val="28"/>
        </w:rPr>
        <w:t>(3) Nhà nước giữ vai trò quyết định trong việc phát triển đối tượng tham gia và thụ hưởng chính sách BHXH (Nhà nước xây dựng thể chế; thực hiện vai trò người sử dụng lao động; hỗ trợ về tài chính cho nhóm người yếu thế tham gia đóng góp; bảo hộ quỹ BHXH).</w:t>
      </w:r>
    </w:p>
    <w:p w:rsidR="00BD46E7" w:rsidRPr="00BD46E7" w:rsidRDefault="00BD46E7" w:rsidP="00BD46E7">
      <w:pPr>
        <w:spacing w:after="120"/>
        <w:ind w:firstLine="720"/>
        <w:jc w:val="both"/>
        <w:rPr>
          <w:rFonts w:ascii="Times New Roman" w:hAnsi="Times New Roman" w:cs="Times New Roman"/>
          <w:sz w:val="28"/>
          <w:szCs w:val="28"/>
        </w:rPr>
      </w:pPr>
      <w:r>
        <w:rPr>
          <w:rFonts w:ascii="Times New Roman" w:hAnsi="Times New Roman" w:cs="Times New Roman"/>
          <w:sz w:val="28"/>
          <w:szCs w:val="28"/>
        </w:rPr>
        <w:t xml:space="preserve">(4) </w:t>
      </w:r>
      <w:r w:rsidR="002E3CD9" w:rsidRPr="002E3CD9">
        <w:rPr>
          <w:rFonts w:ascii="Times New Roman" w:hAnsi="Times New Roman" w:cs="Times New Roman"/>
          <w:sz w:val="28"/>
          <w:szCs w:val="28"/>
        </w:rPr>
        <w:t>Độ bao phủ của bảo hiểm xã hộ</w:t>
      </w:r>
      <w:r w:rsidR="002E3CD9">
        <w:rPr>
          <w:rFonts w:ascii="Times New Roman" w:hAnsi="Times New Roman" w:cs="Times New Roman"/>
          <w:sz w:val="28"/>
          <w:szCs w:val="28"/>
        </w:rPr>
        <w:t xml:space="preserve">i </w:t>
      </w:r>
      <w:r w:rsidR="002E3CD9" w:rsidRPr="002E3CD9">
        <w:rPr>
          <w:rFonts w:ascii="Times New Roman" w:hAnsi="Times New Roman" w:cs="Times New Roman"/>
          <w:sz w:val="28"/>
          <w:szCs w:val="28"/>
        </w:rPr>
        <w:t>gắn liền với mức thu nhập</w:t>
      </w:r>
      <w:r w:rsidR="002E3CD9">
        <w:rPr>
          <w:rFonts w:ascii="Times New Roman" w:hAnsi="Times New Roman" w:cs="Times New Roman"/>
          <w:sz w:val="28"/>
          <w:szCs w:val="28"/>
        </w:rPr>
        <w:t xml:space="preserve"> bình quân đầu người (tỷ lệ thuận)</w:t>
      </w:r>
      <w:r w:rsidR="002E3CD9">
        <w:rPr>
          <w:rStyle w:val="FootnoteReference"/>
          <w:rFonts w:ascii="Times New Roman" w:hAnsi="Times New Roman" w:cs="Times New Roman"/>
          <w:sz w:val="28"/>
          <w:szCs w:val="28"/>
        </w:rPr>
        <w:footnoteReference w:id="2"/>
      </w:r>
      <w:r w:rsidR="002E3CD9">
        <w:rPr>
          <w:rFonts w:ascii="Times New Roman" w:hAnsi="Times New Roman" w:cs="Times New Roman"/>
          <w:sz w:val="28"/>
          <w:szCs w:val="28"/>
        </w:rPr>
        <w:t xml:space="preserve">, thu nhập bình quân đầu người càng cao thì diện bao phủ BHXH càng lớn và ngược lại. </w:t>
      </w:r>
      <w:r w:rsidRPr="00BD46E7">
        <w:rPr>
          <w:rFonts w:ascii="Times New Roman" w:hAnsi="Times New Roman" w:cs="Times New Roman"/>
          <w:sz w:val="28"/>
          <w:szCs w:val="28"/>
        </w:rPr>
        <w:t>Không có quốc gia đang phát triển nào thành công</w:t>
      </w:r>
      <w:r>
        <w:rPr>
          <w:rFonts w:ascii="Times New Roman" w:hAnsi="Times New Roman" w:cs="Times New Roman"/>
          <w:sz w:val="28"/>
          <w:szCs w:val="28"/>
        </w:rPr>
        <w:t xml:space="preserve"> trong việc mở rộng diện bao phủ BHXH</w:t>
      </w:r>
      <w:r w:rsidRPr="00BD46E7">
        <w:rPr>
          <w:rFonts w:ascii="Times New Roman" w:hAnsi="Times New Roman" w:cs="Times New Roman"/>
          <w:sz w:val="28"/>
          <w:szCs w:val="28"/>
        </w:rPr>
        <w:t xml:space="preserve"> nếu chỉ trông chờ vào việc quy định người lao động tham gia BHXH bắt buộc. Tất cả các nước thành công trong việc mở rộng diện bao phủ BHXH đều kết hợp hài hòa giữa</w:t>
      </w:r>
      <w:r>
        <w:rPr>
          <w:rFonts w:ascii="Times New Roman" w:hAnsi="Times New Roman" w:cs="Times New Roman"/>
          <w:sz w:val="28"/>
          <w:szCs w:val="28"/>
        </w:rPr>
        <w:t xml:space="preserve"> quy định việc tham gia</w:t>
      </w:r>
      <w:r w:rsidRPr="00BD46E7">
        <w:rPr>
          <w:rFonts w:ascii="Times New Roman" w:hAnsi="Times New Roman" w:cs="Times New Roman"/>
          <w:sz w:val="28"/>
          <w:szCs w:val="28"/>
        </w:rPr>
        <w:t xml:space="preserve"> BHXH bắt buộc và BHXH tự nguyện có sự hỗ trợ của nhà nước.</w:t>
      </w:r>
    </w:p>
    <w:p w:rsidR="00BD46E7" w:rsidRDefault="00BD46E7" w:rsidP="00BD46E7">
      <w:pPr>
        <w:spacing w:after="120"/>
        <w:ind w:firstLine="720"/>
        <w:jc w:val="both"/>
        <w:rPr>
          <w:rFonts w:ascii="Times New Roman" w:hAnsi="Times New Roman" w:cs="Times New Roman"/>
          <w:sz w:val="28"/>
          <w:szCs w:val="28"/>
        </w:rPr>
      </w:pPr>
      <w:r w:rsidRPr="00BD46E7">
        <w:rPr>
          <w:rFonts w:ascii="Times New Roman" w:hAnsi="Times New Roman" w:cs="Times New Roman"/>
          <w:sz w:val="28"/>
          <w:szCs w:val="28"/>
        </w:rPr>
        <w:t>Ví d</w:t>
      </w:r>
      <w:r>
        <w:rPr>
          <w:rFonts w:ascii="Times New Roman" w:hAnsi="Times New Roman" w:cs="Times New Roman"/>
          <w:sz w:val="28"/>
          <w:szCs w:val="28"/>
        </w:rPr>
        <w:t>ụ</w:t>
      </w:r>
      <w:r w:rsidRPr="00BD46E7">
        <w:rPr>
          <w:rFonts w:ascii="Times New Roman" w:hAnsi="Times New Roman" w:cs="Times New Roman"/>
          <w:sz w:val="28"/>
          <w:szCs w:val="28"/>
        </w:rPr>
        <w:t xml:space="preserve">: Diện bao phủ BHXH ở Trung Quốc đạt 75% đến từ 30% </w:t>
      </w:r>
      <w:r>
        <w:rPr>
          <w:rFonts w:ascii="Times New Roman" w:hAnsi="Times New Roman" w:cs="Times New Roman"/>
          <w:sz w:val="28"/>
          <w:szCs w:val="28"/>
        </w:rPr>
        <w:t xml:space="preserve">do quy định tham gia </w:t>
      </w:r>
      <w:r w:rsidRPr="00BD46E7">
        <w:rPr>
          <w:rFonts w:ascii="Times New Roman" w:hAnsi="Times New Roman" w:cs="Times New Roman"/>
          <w:sz w:val="28"/>
          <w:szCs w:val="28"/>
        </w:rPr>
        <w:t xml:space="preserve">BHXH bắt buộc và 40% đến từ </w:t>
      </w:r>
      <w:r>
        <w:rPr>
          <w:rFonts w:ascii="Times New Roman" w:hAnsi="Times New Roman" w:cs="Times New Roman"/>
          <w:sz w:val="28"/>
          <w:szCs w:val="28"/>
        </w:rPr>
        <w:t xml:space="preserve">việc Nhà nước quy định người dân tham gia </w:t>
      </w:r>
      <w:r w:rsidRPr="00BD46E7">
        <w:rPr>
          <w:rFonts w:ascii="Times New Roman" w:hAnsi="Times New Roman" w:cs="Times New Roman"/>
          <w:sz w:val="28"/>
          <w:szCs w:val="28"/>
        </w:rPr>
        <w:t>BHXH tự nguyện</w:t>
      </w:r>
      <w:r>
        <w:rPr>
          <w:rFonts w:ascii="Times New Roman" w:hAnsi="Times New Roman" w:cs="Times New Roman"/>
          <w:sz w:val="28"/>
          <w:szCs w:val="28"/>
        </w:rPr>
        <w:t xml:space="preserve"> với sự hỗ trợ từ ngân sách nhà nước</w:t>
      </w:r>
      <w:r w:rsidRPr="00BD46E7">
        <w:rPr>
          <w:rFonts w:ascii="Times New Roman" w:hAnsi="Times New Roman" w:cs="Times New Roman"/>
          <w:sz w:val="28"/>
          <w:szCs w:val="28"/>
        </w:rPr>
        <w:t>.</w:t>
      </w:r>
    </w:p>
    <w:p w:rsidR="00BD46E7" w:rsidRPr="00D55380" w:rsidRDefault="00BD46E7" w:rsidP="00BD46E7">
      <w:pPr>
        <w:spacing w:after="120"/>
        <w:ind w:firstLine="720"/>
        <w:jc w:val="both"/>
        <w:rPr>
          <w:rFonts w:ascii="Times New Roman" w:hAnsi="Times New Roman" w:cs="Times New Roman"/>
          <w:sz w:val="28"/>
          <w:szCs w:val="28"/>
        </w:rPr>
      </w:pPr>
      <w:r>
        <w:rPr>
          <w:rFonts w:ascii="Times New Roman" w:hAnsi="Times New Roman" w:cs="Times New Roman"/>
          <w:sz w:val="28"/>
          <w:szCs w:val="28"/>
        </w:rPr>
        <w:t xml:space="preserve">(5) </w:t>
      </w:r>
      <w:r w:rsidRPr="00BD46E7">
        <w:rPr>
          <w:rFonts w:ascii="Times New Roman" w:hAnsi="Times New Roman" w:cs="Times New Roman"/>
          <w:sz w:val="28"/>
          <w:szCs w:val="28"/>
        </w:rPr>
        <w:t xml:space="preserve">Để mở rộng diện bao phủ BHXH, bên cạnh việc hoàn thiện chính sách, </w:t>
      </w:r>
      <w:r>
        <w:rPr>
          <w:rFonts w:ascii="Times New Roman" w:hAnsi="Times New Roman" w:cs="Times New Roman"/>
          <w:sz w:val="28"/>
          <w:szCs w:val="28"/>
        </w:rPr>
        <w:t xml:space="preserve">không thể thiếu vai trò </w:t>
      </w:r>
      <w:r w:rsidRPr="00BD46E7">
        <w:rPr>
          <w:rFonts w:ascii="Times New Roman" w:hAnsi="Times New Roman" w:cs="Times New Roman"/>
          <w:sz w:val="28"/>
          <w:szCs w:val="28"/>
        </w:rPr>
        <w:t>đổi mới công tác tổ chức thực hiện</w:t>
      </w:r>
      <w:r>
        <w:rPr>
          <w:rFonts w:ascii="Times New Roman" w:hAnsi="Times New Roman" w:cs="Times New Roman"/>
          <w:sz w:val="28"/>
          <w:szCs w:val="28"/>
        </w:rPr>
        <w:t xml:space="preserve"> nhằm gia tăng niềm tin của người dân vào việc tổ chức thực hiện chính sách bao </w:t>
      </w:r>
      <w:r w:rsidRPr="00BD46E7">
        <w:rPr>
          <w:rFonts w:ascii="Times New Roman" w:hAnsi="Times New Roman" w:cs="Times New Roman"/>
          <w:sz w:val="28"/>
          <w:szCs w:val="28"/>
        </w:rPr>
        <w:t xml:space="preserve">gồm: Đổi mới quy trình </w:t>
      </w:r>
      <w:r w:rsidRPr="00BD46E7">
        <w:rPr>
          <w:rFonts w:ascii="Times New Roman" w:hAnsi="Times New Roman" w:cs="Times New Roman"/>
          <w:sz w:val="28"/>
          <w:szCs w:val="28"/>
        </w:rPr>
        <w:lastRenderedPageBreak/>
        <w:t xml:space="preserve">quản lý vận hành; </w:t>
      </w:r>
      <w:r>
        <w:rPr>
          <w:rFonts w:ascii="Times New Roman" w:hAnsi="Times New Roman" w:cs="Times New Roman"/>
          <w:sz w:val="28"/>
          <w:szCs w:val="28"/>
        </w:rPr>
        <w:t xml:space="preserve">cắt giảm tối đa thủ tục hành chính; </w:t>
      </w:r>
      <w:r w:rsidRPr="00BD46E7">
        <w:rPr>
          <w:rFonts w:ascii="Times New Roman" w:hAnsi="Times New Roman" w:cs="Times New Roman"/>
          <w:sz w:val="28"/>
          <w:szCs w:val="28"/>
        </w:rPr>
        <w:t>đổi mới hệ thống thông tin, theo dõi trực tiếp đối tượng tham gia…</w:t>
      </w:r>
    </w:p>
    <w:p w:rsidR="00D55380" w:rsidRPr="00D55380" w:rsidRDefault="00D55380" w:rsidP="005E1C1C">
      <w:pPr>
        <w:spacing w:after="120"/>
        <w:ind w:firstLine="720"/>
        <w:jc w:val="both"/>
        <w:rPr>
          <w:rFonts w:ascii="Times New Roman" w:hAnsi="Times New Roman" w:cs="Times New Roman"/>
          <w:b/>
          <w:sz w:val="28"/>
          <w:szCs w:val="28"/>
        </w:rPr>
      </w:pPr>
      <w:r w:rsidRPr="00D55380">
        <w:rPr>
          <w:rFonts w:ascii="Times New Roman" w:hAnsi="Times New Roman" w:cs="Times New Roman"/>
          <w:b/>
          <w:sz w:val="28"/>
          <w:szCs w:val="28"/>
        </w:rPr>
        <w:t xml:space="preserve">2. </w:t>
      </w:r>
      <w:r w:rsidR="009A1155">
        <w:rPr>
          <w:rFonts w:ascii="Times New Roman" w:hAnsi="Times New Roman" w:cs="Times New Roman"/>
          <w:b/>
          <w:sz w:val="28"/>
          <w:szCs w:val="28"/>
        </w:rPr>
        <w:t>C</w:t>
      </w:r>
      <w:r w:rsidRPr="00D55380">
        <w:rPr>
          <w:rFonts w:ascii="Times New Roman" w:hAnsi="Times New Roman" w:cs="Times New Roman"/>
          <w:b/>
          <w:sz w:val="28"/>
          <w:szCs w:val="28"/>
        </w:rPr>
        <w:t xml:space="preserve">ải cách chính sách </w:t>
      </w:r>
      <w:r w:rsidR="009A1155">
        <w:rPr>
          <w:rFonts w:ascii="Times New Roman" w:hAnsi="Times New Roman" w:cs="Times New Roman"/>
          <w:b/>
          <w:sz w:val="28"/>
          <w:szCs w:val="28"/>
        </w:rPr>
        <w:t>bảo hiểm xã hội</w:t>
      </w:r>
    </w:p>
    <w:p w:rsidR="00D55380" w:rsidRPr="00D55380" w:rsidRDefault="00D55380" w:rsidP="00D55380">
      <w:pPr>
        <w:spacing w:after="120"/>
        <w:ind w:firstLine="720"/>
        <w:jc w:val="both"/>
        <w:rPr>
          <w:rFonts w:ascii="Times New Roman" w:hAnsi="Times New Roman" w:cs="Times New Roman"/>
          <w:sz w:val="28"/>
          <w:szCs w:val="28"/>
        </w:rPr>
      </w:pPr>
      <w:r w:rsidRPr="00D55380">
        <w:rPr>
          <w:rFonts w:ascii="Times New Roman" w:hAnsi="Times New Roman" w:cs="Times New Roman"/>
          <w:sz w:val="28"/>
          <w:szCs w:val="28"/>
        </w:rPr>
        <w:t>(1) Mọi cuộc cải cách ở tầm vĩ mô cần phải có sự đồng lòng, quyết tâm của những người đứng đầu Nhà nước và toàn thể hệ thống chính trị.</w:t>
      </w:r>
    </w:p>
    <w:p w:rsidR="00D55380" w:rsidRPr="00D55380" w:rsidRDefault="00D55380" w:rsidP="00D55380">
      <w:pPr>
        <w:spacing w:after="120"/>
        <w:ind w:firstLine="720"/>
        <w:jc w:val="both"/>
        <w:rPr>
          <w:rFonts w:ascii="Times New Roman" w:hAnsi="Times New Roman" w:cs="Times New Roman"/>
          <w:sz w:val="28"/>
          <w:szCs w:val="28"/>
        </w:rPr>
      </w:pPr>
      <w:r w:rsidRPr="00D55380">
        <w:rPr>
          <w:rFonts w:ascii="Times New Roman" w:hAnsi="Times New Roman" w:cs="Times New Roman"/>
          <w:sz w:val="28"/>
          <w:szCs w:val="28"/>
        </w:rPr>
        <w:t xml:space="preserve"> (2) Chính sách BHXH phải song hành với chính sách kinh tế, xã hội và phải được đặt ngang tầm với chính sách kinh tế, xã hội. Đầu tư cho chính sách BHXH</w:t>
      </w:r>
      <w:r w:rsidRPr="00D55380">
        <w:rPr>
          <w:rFonts w:ascii="Times New Roman" w:hAnsi="Times New Roman" w:cs="Times New Roman"/>
          <w:sz w:val="28"/>
          <w:szCs w:val="28"/>
          <w:lang w:val="vi-VN"/>
        </w:rPr>
        <w:t xml:space="preserve"> cũng là đầu tư cho con người, đầu tư cho phát triển do đó phả</w:t>
      </w:r>
      <w:r w:rsidR="00250BCD">
        <w:rPr>
          <w:rFonts w:ascii="Times New Roman" w:hAnsi="Times New Roman" w:cs="Times New Roman"/>
          <w:sz w:val="28"/>
          <w:szCs w:val="28"/>
          <w:lang w:val="vi-VN"/>
        </w:rPr>
        <w:t>i tính toán chi phí -</w:t>
      </w:r>
      <w:r w:rsidRPr="00D55380">
        <w:rPr>
          <w:rFonts w:ascii="Times New Roman" w:hAnsi="Times New Roman" w:cs="Times New Roman"/>
          <w:sz w:val="28"/>
          <w:szCs w:val="28"/>
          <w:lang w:val="vi-VN"/>
        </w:rPr>
        <w:t xml:space="preserve"> lợ</w:t>
      </w:r>
      <w:r w:rsidRPr="00D55380">
        <w:rPr>
          <w:rFonts w:ascii="Times New Roman" w:hAnsi="Times New Roman" w:cs="Times New Roman"/>
          <w:sz w:val="28"/>
          <w:szCs w:val="28"/>
        </w:rPr>
        <w:t>i ích trong cả ngắn hạn và dài hạn, hướng đến mục tiêu trong dài hạn.</w:t>
      </w:r>
    </w:p>
    <w:p w:rsidR="00D55380" w:rsidRPr="00D55380" w:rsidRDefault="00D55380" w:rsidP="00D55380">
      <w:pPr>
        <w:spacing w:after="120"/>
        <w:ind w:firstLine="720"/>
        <w:jc w:val="both"/>
        <w:rPr>
          <w:rFonts w:ascii="Times New Roman" w:hAnsi="Times New Roman" w:cs="Times New Roman"/>
          <w:sz w:val="28"/>
          <w:szCs w:val="28"/>
        </w:rPr>
      </w:pPr>
      <w:r w:rsidRPr="00D55380">
        <w:rPr>
          <w:rFonts w:ascii="Times New Roman" w:hAnsi="Times New Roman" w:cs="Times New Roman"/>
          <w:sz w:val="28"/>
          <w:szCs w:val="28"/>
        </w:rPr>
        <w:t xml:space="preserve">(3) Mục đích của cải cách chính sách BHXH từ góc độ của cơ quan quản lý nhà nước: </w:t>
      </w:r>
      <w:r w:rsidRPr="00D55380">
        <w:rPr>
          <w:rFonts w:ascii="Times New Roman" w:hAnsi="Times New Roman" w:cs="Times New Roman"/>
          <w:sz w:val="28"/>
          <w:szCs w:val="28"/>
          <w:lang w:val="vi-VN"/>
        </w:rPr>
        <w:t>Chính sách BHXH phải được cải cách</w:t>
      </w:r>
      <w:r w:rsidRPr="00D55380">
        <w:rPr>
          <w:rFonts w:ascii="Times New Roman" w:hAnsi="Times New Roman" w:cs="Times New Roman"/>
          <w:i/>
          <w:sz w:val="28"/>
          <w:szCs w:val="28"/>
        </w:rPr>
        <w:t xml:space="preserve"> </w:t>
      </w:r>
      <w:r w:rsidRPr="00D55380">
        <w:rPr>
          <w:rFonts w:ascii="Times New Roman" w:hAnsi="Times New Roman" w:cs="Times New Roman"/>
          <w:sz w:val="28"/>
          <w:szCs w:val="28"/>
        </w:rPr>
        <w:t>nhằm khắc phục các bất hợp lý không sát với thực tế thay đổi, đồng bộ hoá với các luật liên quan khác và nội luật hoá các cam kết quốc tế khi tham gia các hiệp định tự do thương mạ</w:t>
      </w:r>
      <w:r w:rsidR="00974EB2">
        <w:rPr>
          <w:rFonts w:ascii="Times New Roman" w:hAnsi="Times New Roman" w:cs="Times New Roman"/>
          <w:sz w:val="28"/>
          <w:szCs w:val="28"/>
        </w:rPr>
        <w:t>i (</w:t>
      </w:r>
      <w:r w:rsidRPr="00D55380">
        <w:rPr>
          <w:rFonts w:ascii="Times New Roman" w:hAnsi="Times New Roman" w:cs="Times New Roman"/>
          <w:sz w:val="28"/>
          <w:szCs w:val="28"/>
        </w:rPr>
        <w:t xml:space="preserve">FTA) thế hệ mới. </w:t>
      </w:r>
    </w:p>
    <w:p w:rsidR="005E1C1C" w:rsidRPr="004B4395" w:rsidRDefault="00D55380" w:rsidP="00D55380">
      <w:pPr>
        <w:spacing w:after="120"/>
        <w:ind w:firstLine="720"/>
        <w:jc w:val="both"/>
        <w:rPr>
          <w:rFonts w:ascii="Times New Roman" w:eastAsia="Times New Roman" w:hAnsi="Times New Roman" w:cs="Times New Roman"/>
          <w:color w:val="000000" w:themeColor="text1"/>
          <w:sz w:val="28"/>
          <w:szCs w:val="28"/>
          <w:lang w:eastAsia="en-SG"/>
        </w:rPr>
      </w:pPr>
      <w:r w:rsidRPr="004B4395">
        <w:rPr>
          <w:rFonts w:ascii="Times New Roman" w:hAnsi="Times New Roman" w:cs="Times New Roman"/>
          <w:color w:val="000000" w:themeColor="text1"/>
          <w:sz w:val="28"/>
          <w:szCs w:val="28"/>
        </w:rPr>
        <w:t>(4) Căn cứ để thực hiện cải cách BHXH không thể xuất phát duy ý chí từ mệnh lệnh hành chính mà cần căn cứ trên tổng thể nhiều tiêu chí, bao gồm: Loại hình nhà nước, thể chế chính trị; t</w:t>
      </w:r>
      <w:r w:rsidRPr="004B4395">
        <w:rPr>
          <w:rFonts w:ascii="Times New Roman" w:eastAsia="Times New Roman" w:hAnsi="Times New Roman" w:cs="Times New Roman"/>
          <w:color w:val="000000" w:themeColor="text1"/>
          <w:sz w:val="28"/>
          <w:szCs w:val="28"/>
          <w:lang w:eastAsia="en-SG"/>
        </w:rPr>
        <w:t xml:space="preserve">rình độ phát triển kinh tế - xã hội; yếu tố văn hóa, lối nhận thức phương Đông, phương Tây. Vì mỗi nước có một hệ thống BHXH riêng, cụ thể riêng trong 10 nước ASEAN nói riêng đã không có quốc gia nào có hệ thống BHXH giống quốc gia nào, do đó, cần nghiên cứu kỹ để từ đó có cái nhìn bao quát về cơ chế quản lý nhà nước về BHXH theo hướng tập trung, phân quyền hay tản quyền và hướng đến các mô hình thành công có sự tương đồng. </w:t>
      </w:r>
    </w:p>
    <w:p w:rsidR="00D55380" w:rsidRPr="004B4395" w:rsidRDefault="00D55380" w:rsidP="00D55380">
      <w:pPr>
        <w:spacing w:after="120"/>
        <w:ind w:firstLine="720"/>
        <w:jc w:val="both"/>
        <w:rPr>
          <w:rFonts w:ascii="Times New Roman" w:eastAsia="Times New Roman" w:hAnsi="Times New Roman" w:cs="Times New Roman"/>
          <w:color w:val="000000" w:themeColor="text1"/>
          <w:sz w:val="28"/>
          <w:szCs w:val="28"/>
          <w:lang w:eastAsia="en-SG"/>
        </w:rPr>
      </w:pPr>
      <w:r w:rsidRPr="004B4395">
        <w:rPr>
          <w:rFonts w:ascii="Times New Roman" w:eastAsia="Times New Roman" w:hAnsi="Times New Roman" w:cs="Times New Roman"/>
          <w:color w:val="000000" w:themeColor="text1"/>
          <w:sz w:val="28"/>
          <w:szCs w:val="28"/>
          <w:lang w:eastAsia="en-SG"/>
        </w:rPr>
        <w:t>(5) Cải cách chính sách BHXH là một vấn đề khó, phải có lộ trình, trải qua nhiều vòng, nhiều giai đoạn và cải cách phải mang tính kế thừa, không thể sử dụng bạo lực hoặc cách mạng 1 lần để thay đổi toàn bộ.</w:t>
      </w:r>
    </w:p>
    <w:p w:rsidR="00D55380" w:rsidRPr="004B4395" w:rsidRDefault="00D55380" w:rsidP="00D55380">
      <w:pPr>
        <w:spacing w:after="120"/>
        <w:ind w:firstLine="720"/>
        <w:jc w:val="both"/>
        <w:rPr>
          <w:rFonts w:ascii="Times New Roman" w:eastAsia="Times New Roman" w:hAnsi="Times New Roman" w:cs="Times New Roman"/>
          <w:color w:val="000000" w:themeColor="text1"/>
          <w:sz w:val="28"/>
          <w:szCs w:val="28"/>
          <w:lang w:eastAsia="en-SG"/>
        </w:rPr>
      </w:pPr>
      <w:r w:rsidRPr="004B4395">
        <w:rPr>
          <w:rFonts w:ascii="Times New Roman" w:eastAsia="Times New Roman" w:hAnsi="Times New Roman" w:cs="Times New Roman"/>
          <w:color w:val="000000" w:themeColor="text1"/>
          <w:sz w:val="28"/>
          <w:szCs w:val="28"/>
          <w:lang w:eastAsia="en-SG"/>
        </w:rPr>
        <w:t xml:space="preserve">(6) Cải cách BHXH là </w:t>
      </w:r>
      <w:r w:rsidR="00974EB2" w:rsidRPr="004B4395">
        <w:rPr>
          <w:rFonts w:ascii="Times New Roman" w:eastAsia="Times New Roman" w:hAnsi="Times New Roman" w:cs="Times New Roman"/>
          <w:color w:val="000000" w:themeColor="text1"/>
          <w:sz w:val="28"/>
          <w:szCs w:val="28"/>
          <w:lang w:eastAsia="en-SG"/>
        </w:rPr>
        <w:t>một</w:t>
      </w:r>
      <w:r w:rsidRPr="004B4395">
        <w:rPr>
          <w:rFonts w:ascii="Times New Roman" w:eastAsia="Times New Roman" w:hAnsi="Times New Roman" w:cs="Times New Roman"/>
          <w:color w:val="000000" w:themeColor="text1"/>
          <w:sz w:val="28"/>
          <w:szCs w:val="28"/>
          <w:lang w:eastAsia="en-SG"/>
        </w:rPr>
        <w:t xml:space="preserve"> việc tất yếu vì nó phản ánh sự đi lên trong quy luật vận động của phát triển. Điều quan trọng là xác định các điểm mút của quá trình phát triển để thực hiện những bước nhảy vọt thay đổi về chất. Hệ lụy từ việc chần chừ không cải cách dẫn đến khủng hoảng trầm trọng như ở Italia, Georgia, </w:t>
      </w:r>
      <w:r w:rsidR="009A1155" w:rsidRPr="004B4395">
        <w:rPr>
          <w:rFonts w:ascii="Times New Roman" w:eastAsia="Times New Roman" w:hAnsi="Times New Roman" w:cs="Times New Roman"/>
          <w:color w:val="000000" w:themeColor="text1"/>
          <w:sz w:val="28"/>
          <w:szCs w:val="28"/>
          <w:lang w:eastAsia="en-SG"/>
        </w:rPr>
        <w:t>và một số quốc gia khác</w:t>
      </w:r>
      <w:r w:rsidRPr="004B4395">
        <w:rPr>
          <w:rFonts w:ascii="Times New Roman" w:eastAsia="Times New Roman" w:hAnsi="Times New Roman" w:cs="Times New Roman"/>
          <w:color w:val="000000" w:themeColor="text1"/>
          <w:sz w:val="28"/>
          <w:szCs w:val="28"/>
          <w:lang w:eastAsia="en-SG"/>
        </w:rPr>
        <w:t>.</w:t>
      </w:r>
    </w:p>
    <w:p w:rsidR="009A1155" w:rsidRPr="004B4395" w:rsidRDefault="00D55380" w:rsidP="00D55380">
      <w:pPr>
        <w:spacing w:after="120"/>
        <w:ind w:firstLine="720"/>
        <w:jc w:val="both"/>
        <w:rPr>
          <w:rFonts w:ascii="Times New Roman" w:eastAsia="Times New Roman" w:hAnsi="Times New Roman" w:cs="Times New Roman"/>
          <w:color w:val="000000" w:themeColor="text1"/>
          <w:sz w:val="28"/>
          <w:szCs w:val="28"/>
          <w:lang w:eastAsia="en-SG"/>
        </w:rPr>
      </w:pPr>
      <w:r w:rsidRPr="004B4395">
        <w:rPr>
          <w:rFonts w:ascii="Times New Roman" w:eastAsia="Times New Roman" w:hAnsi="Times New Roman" w:cs="Times New Roman"/>
          <w:color w:val="000000" w:themeColor="text1"/>
          <w:sz w:val="28"/>
          <w:szCs w:val="28"/>
          <w:lang w:eastAsia="en-SG"/>
        </w:rPr>
        <w:t xml:space="preserve">(7) Đặc thù riêng có của BHXH, tuy là </w:t>
      </w:r>
      <w:r w:rsidR="00974EB2" w:rsidRPr="004B4395">
        <w:rPr>
          <w:rFonts w:ascii="Times New Roman" w:eastAsia="Times New Roman" w:hAnsi="Times New Roman" w:cs="Times New Roman"/>
          <w:color w:val="000000" w:themeColor="text1"/>
          <w:sz w:val="28"/>
          <w:szCs w:val="28"/>
          <w:lang w:eastAsia="en-SG"/>
        </w:rPr>
        <w:t>một</w:t>
      </w:r>
      <w:r w:rsidRPr="004B4395">
        <w:rPr>
          <w:rFonts w:ascii="Times New Roman" w:eastAsia="Times New Roman" w:hAnsi="Times New Roman" w:cs="Times New Roman"/>
          <w:color w:val="000000" w:themeColor="text1"/>
          <w:sz w:val="28"/>
          <w:szCs w:val="28"/>
          <w:lang w:eastAsia="en-SG"/>
        </w:rPr>
        <w:t xml:space="preserve"> dịch vụ, về mặt nào đó vận hành theo cung cầu trong cơ chế nền kinh tế thị trường, nhưng BHXH có đặc thù là cần đến vai trò điều phối của nhà nước trong mối quan hệ 3 bên</w:t>
      </w:r>
      <w:r w:rsidR="009A1155" w:rsidRPr="004B4395">
        <w:rPr>
          <w:rFonts w:ascii="Times New Roman" w:eastAsia="Times New Roman" w:hAnsi="Times New Roman" w:cs="Times New Roman"/>
          <w:color w:val="000000" w:themeColor="text1"/>
          <w:sz w:val="28"/>
          <w:szCs w:val="28"/>
          <w:lang w:eastAsia="en-SG"/>
        </w:rPr>
        <w:t xml:space="preserve"> (Người lao động, người sử dụng lao động và </w:t>
      </w:r>
      <w:r w:rsidR="00974EB2" w:rsidRPr="004B4395">
        <w:rPr>
          <w:rFonts w:ascii="Times New Roman" w:eastAsia="Times New Roman" w:hAnsi="Times New Roman" w:cs="Times New Roman"/>
          <w:color w:val="000000" w:themeColor="text1"/>
          <w:sz w:val="28"/>
          <w:szCs w:val="28"/>
          <w:lang w:eastAsia="en-SG"/>
        </w:rPr>
        <w:t>N</w:t>
      </w:r>
      <w:r w:rsidR="009A1155" w:rsidRPr="004B4395">
        <w:rPr>
          <w:rFonts w:ascii="Times New Roman" w:eastAsia="Times New Roman" w:hAnsi="Times New Roman" w:cs="Times New Roman"/>
          <w:color w:val="000000" w:themeColor="text1"/>
          <w:sz w:val="28"/>
          <w:szCs w:val="28"/>
          <w:lang w:eastAsia="en-SG"/>
        </w:rPr>
        <w:t>hà nước)</w:t>
      </w:r>
      <w:r w:rsidRPr="004B4395">
        <w:rPr>
          <w:rFonts w:ascii="Times New Roman" w:eastAsia="Times New Roman" w:hAnsi="Times New Roman" w:cs="Times New Roman"/>
          <w:color w:val="000000" w:themeColor="text1"/>
          <w:sz w:val="28"/>
          <w:szCs w:val="28"/>
          <w:lang w:eastAsia="en-SG"/>
        </w:rPr>
        <w:t>.</w:t>
      </w:r>
    </w:p>
    <w:p w:rsidR="00D55380" w:rsidRPr="004B4395" w:rsidRDefault="00D55380" w:rsidP="00D55380">
      <w:pPr>
        <w:spacing w:after="120"/>
        <w:ind w:firstLine="720"/>
        <w:jc w:val="both"/>
        <w:rPr>
          <w:rFonts w:ascii="Times New Roman" w:eastAsia="Times New Roman" w:hAnsi="Times New Roman" w:cs="Times New Roman"/>
          <w:color w:val="000000" w:themeColor="text1"/>
          <w:sz w:val="28"/>
          <w:szCs w:val="28"/>
          <w:lang w:eastAsia="en-SG"/>
        </w:rPr>
      </w:pPr>
      <w:r w:rsidRPr="004B4395">
        <w:rPr>
          <w:rFonts w:ascii="Times New Roman" w:eastAsia="Times New Roman" w:hAnsi="Times New Roman" w:cs="Times New Roman"/>
          <w:color w:val="000000" w:themeColor="text1"/>
          <w:sz w:val="28"/>
          <w:szCs w:val="28"/>
          <w:lang w:eastAsia="en-SG"/>
        </w:rPr>
        <w:lastRenderedPageBreak/>
        <w:t>(8) Về phương thức thực hiện, các phương án cải cách được chọn bắt buộc phải kèm theo các biện pháp chống sốc trên nhiều phương diện, từ dự phòng tài chính quỹ, đến tuyên truyền vận động nhận thức của giới chính khách và của người dân.</w:t>
      </w:r>
    </w:p>
    <w:p w:rsidR="00D55380" w:rsidRPr="00D55380" w:rsidRDefault="00D55380" w:rsidP="00D55380">
      <w:pPr>
        <w:spacing w:after="120"/>
        <w:ind w:firstLine="720"/>
        <w:rPr>
          <w:rFonts w:ascii="Times New Roman" w:hAnsi="Times New Roman" w:cs="Times New Roman"/>
          <w:b/>
          <w:sz w:val="28"/>
          <w:szCs w:val="28"/>
        </w:rPr>
      </w:pPr>
      <w:r w:rsidRPr="00D55380">
        <w:rPr>
          <w:rFonts w:ascii="Times New Roman" w:hAnsi="Times New Roman" w:cs="Times New Roman"/>
          <w:b/>
          <w:sz w:val="28"/>
          <w:szCs w:val="28"/>
        </w:rPr>
        <w:t xml:space="preserve">II. MỘT SỐ NỘI DUNG </w:t>
      </w:r>
      <w:r w:rsidR="003C7644">
        <w:rPr>
          <w:rFonts w:ascii="Times New Roman" w:hAnsi="Times New Roman" w:cs="Times New Roman"/>
          <w:b/>
          <w:sz w:val="28"/>
          <w:szCs w:val="28"/>
        </w:rPr>
        <w:t>TRỌNG TÂM TRONG THIẾT KẾ CHÍNH SÁCH BHXH</w:t>
      </w:r>
    </w:p>
    <w:p w:rsidR="00D55380" w:rsidRPr="004B4395" w:rsidRDefault="004B4395" w:rsidP="00D55380">
      <w:pPr>
        <w:spacing w:after="120"/>
        <w:ind w:firstLine="720"/>
        <w:jc w:val="both"/>
        <w:rPr>
          <w:rFonts w:ascii="Times New Roman" w:hAnsi="Times New Roman" w:cs="Times New Roman"/>
          <w:sz w:val="28"/>
          <w:szCs w:val="28"/>
        </w:rPr>
      </w:pPr>
      <w:r w:rsidRPr="004B4395">
        <w:rPr>
          <w:rFonts w:ascii="Times New Roman" w:hAnsi="Times New Roman" w:cs="Times New Roman"/>
          <w:sz w:val="28"/>
          <w:szCs w:val="28"/>
        </w:rPr>
        <w:t>1.</w:t>
      </w:r>
      <w:r w:rsidR="00D55380" w:rsidRPr="004B4395">
        <w:rPr>
          <w:rFonts w:ascii="Times New Roman" w:hAnsi="Times New Roman" w:cs="Times New Roman"/>
          <w:sz w:val="28"/>
          <w:szCs w:val="28"/>
        </w:rPr>
        <w:t xml:space="preserve"> Trong mọi công trình nghiên cứu lý thuyết và thực chứng</w:t>
      </w:r>
      <w:r w:rsidRPr="004B4395">
        <w:rPr>
          <w:rFonts w:ascii="Times New Roman" w:hAnsi="Times New Roman" w:cs="Times New Roman"/>
          <w:sz w:val="28"/>
          <w:szCs w:val="28"/>
        </w:rPr>
        <w:t xml:space="preserve"> phải đi đôi</w:t>
      </w:r>
      <w:r w:rsidR="00D55380" w:rsidRPr="004B4395">
        <w:rPr>
          <w:rFonts w:ascii="Times New Roman" w:hAnsi="Times New Roman" w:cs="Times New Roman"/>
          <w:sz w:val="28"/>
          <w:szCs w:val="28"/>
        </w:rPr>
        <w:t xml:space="preserve"> và do đó trong hoạch định chính sách, quan hệ</w:t>
      </w:r>
      <w:r w:rsidR="00156C2A" w:rsidRPr="004B4395">
        <w:rPr>
          <w:rFonts w:ascii="Times New Roman" w:hAnsi="Times New Roman" w:cs="Times New Roman"/>
          <w:sz w:val="28"/>
          <w:szCs w:val="28"/>
        </w:rPr>
        <w:t xml:space="preserve"> đóng -</w:t>
      </w:r>
      <w:r w:rsidR="00D55380" w:rsidRPr="004B4395">
        <w:rPr>
          <w:rFonts w:ascii="Times New Roman" w:hAnsi="Times New Roman" w:cs="Times New Roman"/>
          <w:sz w:val="28"/>
          <w:szCs w:val="28"/>
        </w:rPr>
        <w:t xml:space="preserve"> hưởng</w:t>
      </w:r>
      <w:r w:rsidR="005E1C1C" w:rsidRPr="004B4395">
        <w:rPr>
          <w:rFonts w:ascii="Times New Roman" w:hAnsi="Times New Roman" w:cs="Times New Roman"/>
          <w:sz w:val="28"/>
          <w:szCs w:val="28"/>
        </w:rPr>
        <w:t xml:space="preserve"> (đóng đúng quy định mới được hưởng)</w:t>
      </w:r>
      <w:r w:rsidR="00D55380" w:rsidRPr="004B4395">
        <w:rPr>
          <w:rFonts w:ascii="Times New Roman" w:hAnsi="Times New Roman" w:cs="Times New Roman"/>
          <w:sz w:val="28"/>
          <w:szCs w:val="28"/>
        </w:rPr>
        <w:t xml:space="preserve"> phải luôn được đặt trong mối quan hệ gắn bó hữu cơ không thể tách rời để đảm bảo nguyên tắc logic và bình đẳng.</w:t>
      </w:r>
    </w:p>
    <w:p w:rsidR="00D55380" w:rsidRPr="00D55380" w:rsidRDefault="004B4395" w:rsidP="00D55380">
      <w:pPr>
        <w:spacing w:after="120"/>
        <w:ind w:firstLine="720"/>
        <w:jc w:val="both"/>
        <w:rPr>
          <w:rFonts w:ascii="Times New Roman" w:hAnsi="Times New Roman" w:cs="Times New Roman"/>
          <w:sz w:val="28"/>
          <w:szCs w:val="28"/>
        </w:rPr>
      </w:pPr>
      <w:r w:rsidRPr="004B4395">
        <w:rPr>
          <w:rFonts w:ascii="Times New Roman" w:hAnsi="Times New Roman" w:cs="Times New Roman"/>
          <w:sz w:val="28"/>
          <w:szCs w:val="28"/>
        </w:rPr>
        <w:t xml:space="preserve">2. </w:t>
      </w:r>
      <w:r w:rsidR="00D55380" w:rsidRPr="004B4395">
        <w:rPr>
          <w:rFonts w:ascii="Times New Roman" w:hAnsi="Times New Roman" w:cs="Times New Roman"/>
          <w:sz w:val="28"/>
          <w:szCs w:val="28"/>
        </w:rPr>
        <w:t xml:space="preserve">Hệ thống BHXH linh hoạt và mềm dẻo trước biến động </w:t>
      </w:r>
      <w:r w:rsidR="005E1C1C" w:rsidRPr="004B4395">
        <w:rPr>
          <w:rFonts w:ascii="Times New Roman" w:hAnsi="Times New Roman" w:cs="Times New Roman"/>
          <w:sz w:val="28"/>
          <w:szCs w:val="28"/>
        </w:rPr>
        <w:t xml:space="preserve">kinh tế - chính trị - xã hội </w:t>
      </w:r>
      <w:r w:rsidR="00D55380" w:rsidRPr="004B4395">
        <w:rPr>
          <w:rFonts w:ascii="Times New Roman" w:hAnsi="Times New Roman" w:cs="Times New Roman"/>
          <w:sz w:val="28"/>
          <w:szCs w:val="28"/>
        </w:rPr>
        <w:t>là hệ thống phân tầng, trong</w:t>
      </w:r>
      <w:r w:rsidR="00D55380" w:rsidRPr="00D55380">
        <w:rPr>
          <w:rFonts w:ascii="Times New Roman" w:hAnsi="Times New Roman" w:cs="Times New Roman"/>
          <w:sz w:val="28"/>
          <w:szCs w:val="28"/>
        </w:rPr>
        <w:t xml:space="preserve"> đó có thể kết hợp 1 số chương trình ưu tiên quốc gia theo mụ</w:t>
      </w:r>
      <w:r w:rsidR="00156C2A">
        <w:rPr>
          <w:rFonts w:ascii="Times New Roman" w:hAnsi="Times New Roman" w:cs="Times New Roman"/>
          <w:sz w:val="28"/>
          <w:szCs w:val="28"/>
        </w:rPr>
        <w:t>c tiêu. Ví dụ</w:t>
      </w:r>
      <w:r w:rsidR="00D55380" w:rsidRPr="00D55380">
        <w:rPr>
          <w:rFonts w:ascii="Times New Roman" w:hAnsi="Times New Roman" w:cs="Times New Roman"/>
          <w:sz w:val="28"/>
          <w:szCs w:val="28"/>
        </w:rPr>
        <w:t xml:space="preserve">: Thiết kế hướng tới nhóm người nghèo nhất (chương trình chống đói nghèo ở Indonesia, bao gồm cả chăm sóc y tế, trợ cấp cho trẻ em và chương trình việc làm công trong </w:t>
      </w:r>
      <w:r w:rsidR="00156C2A">
        <w:rPr>
          <w:rFonts w:ascii="Times New Roman" w:hAnsi="Times New Roman" w:cs="Times New Roman"/>
          <w:sz w:val="28"/>
          <w:szCs w:val="28"/>
        </w:rPr>
        <w:t>một</w:t>
      </w:r>
      <w:r w:rsidR="00D55380" w:rsidRPr="00D55380">
        <w:rPr>
          <w:rFonts w:ascii="Times New Roman" w:hAnsi="Times New Roman" w:cs="Times New Roman"/>
          <w:sz w:val="28"/>
          <w:szCs w:val="28"/>
        </w:rPr>
        <w:t xml:space="preserve"> thời gian nhất định)</w:t>
      </w:r>
    </w:p>
    <w:p w:rsidR="009A1155" w:rsidRDefault="004B4395" w:rsidP="00D55380">
      <w:pPr>
        <w:spacing w:after="120"/>
        <w:ind w:firstLine="720"/>
        <w:jc w:val="both"/>
        <w:rPr>
          <w:rFonts w:ascii="Times New Roman" w:hAnsi="Times New Roman" w:cs="Times New Roman"/>
          <w:sz w:val="28"/>
          <w:szCs w:val="28"/>
        </w:rPr>
      </w:pPr>
      <w:r>
        <w:rPr>
          <w:rFonts w:ascii="Times New Roman" w:hAnsi="Times New Roman" w:cs="Times New Roman"/>
          <w:sz w:val="28"/>
          <w:szCs w:val="28"/>
        </w:rPr>
        <w:t>3.</w:t>
      </w:r>
      <w:r w:rsidR="00D55380" w:rsidRPr="00D55380">
        <w:rPr>
          <w:rFonts w:ascii="Times New Roman" w:hAnsi="Times New Roman" w:cs="Times New Roman"/>
          <w:sz w:val="28"/>
          <w:szCs w:val="28"/>
        </w:rPr>
        <w:t xml:space="preserve"> Mọi dịch vụ công đều phải đầu tư vào nghiên cứu và phát triển (R&amp;D), thực hiện đánh giá tác động một cách nghiêm túc, bài bản và đánh giá sự hài lòng của các bên</w:t>
      </w:r>
      <w:r w:rsidR="009A1155">
        <w:rPr>
          <w:rFonts w:ascii="Times New Roman" w:hAnsi="Times New Roman" w:cs="Times New Roman"/>
          <w:sz w:val="28"/>
          <w:szCs w:val="28"/>
        </w:rPr>
        <w:t>.</w:t>
      </w:r>
    </w:p>
    <w:p w:rsidR="005E1C1C" w:rsidRPr="00D55380" w:rsidRDefault="009A1155" w:rsidP="005E1C1C">
      <w:pPr>
        <w:spacing w:after="120"/>
        <w:ind w:firstLine="720"/>
        <w:jc w:val="both"/>
        <w:rPr>
          <w:rFonts w:ascii="Times New Roman" w:hAnsi="Times New Roman" w:cs="Times New Roman"/>
          <w:sz w:val="28"/>
          <w:szCs w:val="28"/>
        </w:rPr>
      </w:pPr>
      <w:r w:rsidRPr="00D55380">
        <w:rPr>
          <w:rFonts w:ascii="Times New Roman" w:hAnsi="Times New Roman" w:cs="Times New Roman"/>
          <w:sz w:val="28"/>
          <w:szCs w:val="28"/>
        </w:rPr>
        <w:t xml:space="preserve"> </w:t>
      </w:r>
      <w:r w:rsidR="004B4395">
        <w:rPr>
          <w:rFonts w:ascii="Times New Roman" w:hAnsi="Times New Roman" w:cs="Times New Roman"/>
          <w:sz w:val="28"/>
          <w:szCs w:val="28"/>
        </w:rPr>
        <w:t xml:space="preserve">4. </w:t>
      </w:r>
      <w:r w:rsidR="005E1C1C" w:rsidRPr="00D55380">
        <w:rPr>
          <w:rFonts w:ascii="Times New Roman" w:hAnsi="Times New Roman" w:cs="Times New Roman"/>
          <w:sz w:val="28"/>
          <w:szCs w:val="28"/>
        </w:rPr>
        <w:t>Thách thức về hệ thống hưu trí trong từng bối cảnh quốc gia</w:t>
      </w:r>
    </w:p>
    <w:p w:rsidR="005E1C1C" w:rsidRPr="00D55380" w:rsidRDefault="00421EB8" w:rsidP="005E1C1C">
      <w:pPr>
        <w:spacing w:after="120"/>
        <w:ind w:firstLine="720"/>
        <w:jc w:val="both"/>
        <w:rPr>
          <w:rFonts w:ascii="Times New Roman" w:hAnsi="Times New Roman" w:cs="Times New Roman"/>
          <w:sz w:val="28"/>
          <w:szCs w:val="28"/>
        </w:rPr>
      </w:pPr>
      <w:r>
        <w:rPr>
          <w:rFonts w:ascii="Times New Roman" w:hAnsi="Times New Roman" w:cs="Times New Roman"/>
          <w:sz w:val="28"/>
          <w:szCs w:val="28"/>
        </w:rPr>
        <w:t>(1)</w:t>
      </w:r>
      <w:r w:rsidR="005E1C1C" w:rsidRPr="00D55380">
        <w:rPr>
          <w:rFonts w:ascii="Times New Roman" w:hAnsi="Times New Roman" w:cs="Times New Roman"/>
          <w:sz w:val="28"/>
          <w:szCs w:val="28"/>
        </w:rPr>
        <w:t xml:space="preserve"> Các nước già: cầ</w:t>
      </w:r>
      <w:r w:rsidR="00156C2A">
        <w:rPr>
          <w:rFonts w:ascii="Times New Roman" w:hAnsi="Times New Roman" w:cs="Times New Roman"/>
          <w:sz w:val="28"/>
          <w:szCs w:val="28"/>
        </w:rPr>
        <w:t>n</w:t>
      </w:r>
      <w:r w:rsidR="005E1C1C" w:rsidRPr="00D55380">
        <w:rPr>
          <w:rFonts w:ascii="Times New Roman" w:hAnsi="Times New Roman" w:cs="Times New Roman"/>
          <w:sz w:val="28"/>
          <w:szCs w:val="28"/>
        </w:rPr>
        <w:t xml:space="preserve"> đảm bảo cung cấp tài chính đầy đủ cho tuổi già một cách bền vững. </w:t>
      </w:r>
    </w:p>
    <w:p w:rsidR="005E1C1C" w:rsidRPr="00D55380" w:rsidRDefault="00421EB8" w:rsidP="005E1C1C">
      <w:pPr>
        <w:spacing w:after="120"/>
        <w:ind w:firstLine="720"/>
        <w:jc w:val="both"/>
        <w:rPr>
          <w:rFonts w:ascii="Times New Roman" w:hAnsi="Times New Roman" w:cs="Times New Roman"/>
          <w:sz w:val="28"/>
          <w:szCs w:val="28"/>
        </w:rPr>
      </w:pPr>
      <w:r>
        <w:rPr>
          <w:rFonts w:ascii="Times New Roman" w:hAnsi="Times New Roman" w:cs="Times New Roman"/>
          <w:sz w:val="28"/>
          <w:szCs w:val="28"/>
        </w:rPr>
        <w:t>(2)</w:t>
      </w:r>
      <w:r w:rsidR="005E1C1C" w:rsidRPr="00D55380">
        <w:rPr>
          <w:rFonts w:ascii="Times New Roman" w:hAnsi="Times New Roman" w:cs="Times New Roman"/>
          <w:sz w:val="28"/>
          <w:szCs w:val="28"/>
        </w:rPr>
        <w:t xml:space="preserve"> Các nước già hóa: cần giải quyết thách thức của hệ thống hưu trí không bền vững để mở rộng độ bao phủ cho khu vực phi chính thức (trong đó có Việt Nam)</w:t>
      </w:r>
      <w:r w:rsidR="00156C2A">
        <w:rPr>
          <w:rFonts w:ascii="Times New Roman" w:hAnsi="Times New Roman" w:cs="Times New Roman"/>
          <w:sz w:val="28"/>
          <w:szCs w:val="28"/>
        </w:rPr>
        <w:t>.</w:t>
      </w:r>
    </w:p>
    <w:p w:rsidR="005E1C1C" w:rsidRPr="00D55380" w:rsidRDefault="00421EB8" w:rsidP="005E1C1C">
      <w:pPr>
        <w:spacing w:after="120"/>
        <w:ind w:firstLine="720"/>
        <w:jc w:val="both"/>
        <w:rPr>
          <w:rFonts w:ascii="Times New Roman" w:hAnsi="Times New Roman" w:cs="Times New Roman"/>
          <w:sz w:val="28"/>
          <w:szCs w:val="28"/>
        </w:rPr>
      </w:pPr>
      <w:r>
        <w:rPr>
          <w:rFonts w:ascii="Times New Roman" w:hAnsi="Times New Roman" w:cs="Times New Roman"/>
          <w:sz w:val="28"/>
          <w:szCs w:val="28"/>
        </w:rPr>
        <w:t>(3)</w:t>
      </w:r>
      <w:r w:rsidR="005E1C1C" w:rsidRPr="00D55380">
        <w:rPr>
          <w:rFonts w:ascii="Times New Roman" w:hAnsi="Times New Roman" w:cs="Times New Roman"/>
          <w:sz w:val="28"/>
          <w:szCs w:val="28"/>
        </w:rPr>
        <w:t xml:space="preserve"> Các nước trẻ: cần xây dựng hệ thống hưu trí trong khả năng tài chính có thể đạt được độ bao phủ lớn trong tương lai</w:t>
      </w:r>
      <w:r w:rsidR="00156C2A">
        <w:rPr>
          <w:rFonts w:ascii="Times New Roman" w:hAnsi="Times New Roman" w:cs="Times New Roman"/>
          <w:sz w:val="28"/>
          <w:szCs w:val="28"/>
        </w:rPr>
        <w:t>.</w:t>
      </w:r>
    </w:p>
    <w:p w:rsidR="005E1C1C" w:rsidRDefault="006017DE" w:rsidP="005E1C1C">
      <w:pPr>
        <w:spacing w:after="120"/>
        <w:ind w:firstLine="720"/>
        <w:jc w:val="both"/>
        <w:rPr>
          <w:rFonts w:ascii="Times New Roman" w:hAnsi="Times New Roman" w:cs="Times New Roman"/>
          <w:sz w:val="28"/>
          <w:szCs w:val="28"/>
        </w:rPr>
      </w:pPr>
      <w:r>
        <w:rPr>
          <w:rFonts w:ascii="Times New Roman" w:hAnsi="Times New Roman" w:cs="Times New Roman"/>
          <w:sz w:val="28"/>
          <w:szCs w:val="28"/>
        </w:rPr>
        <w:t>5.</w:t>
      </w:r>
      <w:r w:rsidR="005E1C1C" w:rsidRPr="00D55380">
        <w:rPr>
          <w:rFonts w:ascii="Times New Roman" w:hAnsi="Times New Roman" w:cs="Times New Roman"/>
          <w:sz w:val="28"/>
          <w:szCs w:val="28"/>
        </w:rPr>
        <w:t xml:space="preserve"> Mở rộng độ bao phủ cho hệ thống an sinh xã hội: dựa </w:t>
      </w:r>
      <w:r w:rsidR="00156C2A">
        <w:rPr>
          <w:rFonts w:ascii="Times New Roman" w:hAnsi="Times New Roman" w:cs="Times New Roman"/>
          <w:sz w:val="28"/>
          <w:szCs w:val="28"/>
        </w:rPr>
        <w:t>trên đóng góp và không đóng góp;</w:t>
      </w:r>
      <w:r w:rsidR="005E1C1C" w:rsidRPr="00D55380">
        <w:rPr>
          <w:rFonts w:ascii="Times New Roman" w:hAnsi="Times New Roman" w:cs="Times New Roman"/>
          <w:sz w:val="28"/>
          <w:szCs w:val="28"/>
        </w:rPr>
        <w:t xml:space="preserve"> mở rộng độ bao phủ phải quan tâm tới lực lượng phi chính thức và nhóm nghèo. </w:t>
      </w:r>
    </w:p>
    <w:p w:rsidR="00DF0A17" w:rsidRPr="008354C2" w:rsidRDefault="00DF0A17" w:rsidP="00E41B32">
      <w:pPr>
        <w:jc w:val="center"/>
        <w:rPr>
          <w:rFonts w:ascii="Times New Roman" w:hAnsi="Times New Roman" w:cs="Times New Roman"/>
          <w:lang w:val="vi-VN"/>
        </w:rPr>
      </w:pPr>
    </w:p>
    <w:p w:rsidR="00DF0A17" w:rsidRPr="008354C2" w:rsidRDefault="00DF0A17" w:rsidP="00E41B32">
      <w:pPr>
        <w:jc w:val="center"/>
        <w:rPr>
          <w:rFonts w:ascii="Times New Roman" w:hAnsi="Times New Roman" w:cs="Times New Roman"/>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DA4353" w:rsidRPr="008354C2" w:rsidRDefault="00DA4353" w:rsidP="004774EE">
      <w:pPr>
        <w:spacing w:after="160" w:line="259" w:lineRule="auto"/>
        <w:jc w:val="center"/>
        <w:rPr>
          <w:rFonts w:ascii="Times New Roman" w:eastAsia="Arial" w:hAnsi="Times New Roman" w:cs="Times New Roman"/>
          <w:b/>
          <w:sz w:val="28"/>
          <w:szCs w:val="28"/>
          <w:lang w:val="vi-VN"/>
        </w:rPr>
      </w:pPr>
    </w:p>
    <w:p w:rsidR="004774EE" w:rsidRPr="004B4395" w:rsidRDefault="004774EE" w:rsidP="004774EE">
      <w:pPr>
        <w:spacing w:after="160" w:line="259" w:lineRule="auto"/>
        <w:jc w:val="center"/>
        <w:rPr>
          <w:rFonts w:ascii="Times New Roman" w:eastAsia="Arial" w:hAnsi="Times New Roman" w:cs="Times New Roman"/>
          <w:b/>
          <w:sz w:val="28"/>
          <w:szCs w:val="28"/>
          <w:u w:val="single"/>
          <w:lang w:val="vi-VN"/>
        </w:rPr>
      </w:pPr>
      <w:r w:rsidRPr="004B4395">
        <w:rPr>
          <w:rFonts w:ascii="Times New Roman" w:eastAsia="Arial" w:hAnsi="Times New Roman" w:cs="Times New Roman"/>
          <w:b/>
          <w:sz w:val="28"/>
          <w:szCs w:val="28"/>
          <w:u w:val="single"/>
          <w:lang w:val="vi-VN"/>
        </w:rPr>
        <w:lastRenderedPageBreak/>
        <w:t>PHẦN THỨ HAI</w:t>
      </w:r>
    </w:p>
    <w:p w:rsidR="004774EE" w:rsidRPr="004B4395" w:rsidRDefault="004774EE" w:rsidP="004774EE">
      <w:pPr>
        <w:spacing w:before="120" w:after="120"/>
        <w:jc w:val="center"/>
        <w:rPr>
          <w:rFonts w:ascii="Times New Roman" w:eastAsia="Arial" w:hAnsi="Times New Roman" w:cs="Times New Roman"/>
          <w:b/>
          <w:sz w:val="28"/>
          <w:szCs w:val="28"/>
        </w:rPr>
      </w:pPr>
      <w:r w:rsidRPr="008354C2">
        <w:rPr>
          <w:rFonts w:ascii="Times New Roman" w:eastAsia="Arial" w:hAnsi="Times New Roman" w:cs="Times New Roman"/>
          <w:b/>
          <w:sz w:val="28"/>
          <w:szCs w:val="28"/>
          <w:lang w:val="vi-VN"/>
        </w:rPr>
        <w:t xml:space="preserve">QUY ĐỊNH </w:t>
      </w:r>
      <w:r w:rsidR="0062052E">
        <w:rPr>
          <w:rFonts w:ascii="Times New Roman" w:eastAsia="Arial" w:hAnsi="Times New Roman" w:cs="Times New Roman"/>
          <w:b/>
          <w:sz w:val="28"/>
          <w:szCs w:val="28"/>
        </w:rPr>
        <w:t>B</w:t>
      </w:r>
      <w:r w:rsidRPr="008354C2">
        <w:rPr>
          <w:rFonts w:ascii="Times New Roman" w:eastAsia="Arial" w:hAnsi="Times New Roman" w:cs="Times New Roman"/>
          <w:b/>
          <w:sz w:val="28"/>
          <w:szCs w:val="28"/>
          <w:lang w:val="vi-VN"/>
        </w:rPr>
        <w:t>ẢO HIỂM</w:t>
      </w:r>
      <w:r w:rsidR="0062052E">
        <w:rPr>
          <w:rFonts w:ascii="Times New Roman" w:eastAsia="Arial" w:hAnsi="Times New Roman" w:cs="Times New Roman"/>
          <w:b/>
          <w:sz w:val="28"/>
          <w:szCs w:val="28"/>
        </w:rPr>
        <w:t xml:space="preserve"> XÃ HỘI</w:t>
      </w:r>
      <w:r w:rsidRPr="008354C2">
        <w:rPr>
          <w:rFonts w:ascii="Times New Roman" w:eastAsia="Arial" w:hAnsi="Times New Roman" w:cs="Times New Roman"/>
          <w:b/>
          <w:sz w:val="28"/>
          <w:szCs w:val="28"/>
          <w:lang w:val="vi-VN"/>
        </w:rPr>
        <w:t xml:space="preserve"> CỦA MỘT SỐ NƯỚ</w:t>
      </w:r>
      <w:r w:rsidR="004B4395">
        <w:rPr>
          <w:rFonts w:ascii="Times New Roman" w:eastAsia="Arial" w:hAnsi="Times New Roman" w:cs="Times New Roman"/>
          <w:b/>
          <w:sz w:val="28"/>
          <w:szCs w:val="28"/>
        </w:rPr>
        <w:t>C</w:t>
      </w:r>
    </w:p>
    <w:p w:rsidR="004774EE" w:rsidRPr="009A44B3" w:rsidRDefault="0062052E" w:rsidP="009A44B3">
      <w:pPr>
        <w:pStyle w:val="ListParagraph"/>
        <w:numPr>
          <w:ilvl w:val="0"/>
          <w:numId w:val="15"/>
        </w:numPr>
        <w:spacing w:before="120" w:after="120"/>
        <w:ind w:left="284" w:hanging="284"/>
        <w:jc w:val="both"/>
        <w:rPr>
          <w:rFonts w:ascii="Times New Roman" w:eastAsia="Arial" w:hAnsi="Times New Roman" w:cs="Times New Roman"/>
          <w:b/>
          <w:sz w:val="28"/>
          <w:szCs w:val="28"/>
        </w:rPr>
      </w:pPr>
      <w:r w:rsidRPr="009A44B3">
        <w:rPr>
          <w:rFonts w:ascii="Times New Roman" w:eastAsia="Arial" w:hAnsi="Times New Roman" w:cs="Times New Roman"/>
          <w:b/>
          <w:sz w:val="28"/>
          <w:szCs w:val="28"/>
        </w:rPr>
        <w:t>NỘI DUNG</w:t>
      </w:r>
      <w:r w:rsidR="004774EE" w:rsidRPr="009A44B3">
        <w:rPr>
          <w:rFonts w:ascii="Times New Roman" w:eastAsia="Arial" w:hAnsi="Times New Roman" w:cs="Times New Roman"/>
          <w:b/>
          <w:sz w:val="28"/>
          <w:szCs w:val="28"/>
          <w:lang w:val="vi-VN"/>
        </w:rPr>
        <w:t xml:space="preserve"> 1: </w:t>
      </w:r>
      <w:r w:rsidRPr="009A44B3">
        <w:rPr>
          <w:rFonts w:ascii="Times New Roman" w:eastAsia="Arial" w:hAnsi="Times New Roman" w:cs="Times New Roman"/>
          <w:b/>
          <w:sz w:val="28"/>
          <w:szCs w:val="28"/>
        </w:rPr>
        <w:t>XÂY DỰNG HỆ THỐNG BẢO HIỂM XÃ HỘI ĐA TẦNG</w:t>
      </w:r>
    </w:p>
    <w:p w:rsidR="003C7644" w:rsidRPr="003C7644" w:rsidRDefault="003C7644" w:rsidP="003C7644">
      <w:pPr>
        <w:spacing w:before="120" w:after="120"/>
        <w:ind w:firstLine="720"/>
        <w:jc w:val="both"/>
        <w:rPr>
          <w:rFonts w:ascii="Times New Roman" w:eastAsia="Arial" w:hAnsi="Times New Roman" w:cs="Times New Roman"/>
          <w:b/>
          <w:sz w:val="28"/>
          <w:szCs w:val="28"/>
        </w:rPr>
      </w:pPr>
      <w:r w:rsidRPr="003C7644">
        <w:rPr>
          <w:rFonts w:ascii="Times New Roman" w:eastAsia="Arial" w:hAnsi="Times New Roman" w:cs="Times New Roman"/>
          <w:b/>
          <w:sz w:val="28"/>
          <w:szCs w:val="28"/>
        </w:rPr>
        <w:t>1. Cách tiếp cận trong xây dựng chính sách BHXH</w:t>
      </w:r>
    </w:p>
    <w:p w:rsidR="00156C2A" w:rsidRDefault="0062052E" w:rsidP="003C7644">
      <w:pPr>
        <w:spacing w:before="120" w:after="120"/>
        <w:ind w:firstLine="720"/>
        <w:jc w:val="both"/>
        <w:rPr>
          <w:rFonts w:ascii="Times New Roman" w:eastAsia="Arial" w:hAnsi="Times New Roman" w:cs="Times New Roman"/>
          <w:sz w:val="28"/>
          <w:szCs w:val="28"/>
          <w:lang w:val="vi-VN"/>
        </w:rPr>
      </w:pPr>
      <w:r w:rsidRPr="0062052E">
        <w:rPr>
          <w:rFonts w:ascii="Times New Roman" w:eastAsia="Arial" w:hAnsi="Times New Roman" w:cs="Times New Roman"/>
          <w:sz w:val="28"/>
          <w:szCs w:val="28"/>
          <w:lang w:val="vi-VN"/>
        </w:rPr>
        <w:t xml:space="preserve">Nhiều quốc gia đã theo đuổi cách tiếp cận mở rộng bao phủ dựa vào một hệ thống hưu trí đa tầng thường bao gồm:  </w:t>
      </w:r>
    </w:p>
    <w:p w:rsidR="00156C2A" w:rsidRDefault="0062052E" w:rsidP="003C7644">
      <w:pPr>
        <w:spacing w:before="120" w:after="120"/>
        <w:ind w:firstLine="720"/>
        <w:jc w:val="both"/>
        <w:rPr>
          <w:rFonts w:ascii="Times New Roman" w:eastAsia="Arial" w:hAnsi="Times New Roman" w:cs="Times New Roman"/>
          <w:sz w:val="28"/>
          <w:szCs w:val="28"/>
          <w:lang w:val="vi-VN"/>
        </w:rPr>
      </w:pPr>
      <w:r w:rsidRPr="00CF6581">
        <w:rPr>
          <w:rFonts w:ascii="Times New Roman" w:eastAsia="Arial" w:hAnsi="Times New Roman" w:cs="Times New Roman"/>
          <w:i/>
          <w:sz w:val="28"/>
          <w:szCs w:val="28"/>
          <w:lang w:val="vi-VN"/>
        </w:rPr>
        <w:t>Tầng 1</w:t>
      </w:r>
      <w:r w:rsidRPr="0062052E">
        <w:rPr>
          <w:rFonts w:ascii="Times New Roman" w:eastAsia="Arial" w:hAnsi="Times New Roman" w:cs="Times New Roman"/>
          <w:sz w:val="28"/>
          <w:szCs w:val="28"/>
          <w:lang w:val="vi-VN"/>
        </w:rPr>
        <w:t xml:space="preserve"> </w:t>
      </w:r>
      <w:r w:rsidR="00156C2A">
        <w:rPr>
          <w:rFonts w:ascii="Times New Roman" w:eastAsia="Arial" w:hAnsi="Times New Roman" w:cs="Times New Roman"/>
          <w:sz w:val="28"/>
          <w:szCs w:val="28"/>
        </w:rPr>
        <w:t>-</w:t>
      </w:r>
      <w:r w:rsidRPr="0062052E">
        <w:rPr>
          <w:rFonts w:ascii="Times New Roman" w:eastAsia="Arial" w:hAnsi="Times New Roman" w:cs="Times New Roman"/>
          <w:sz w:val="28"/>
          <w:szCs w:val="28"/>
          <w:lang w:val="vi-VN"/>
        </w:rPr>
        <w:t xml:space="preserve"> cấu phần lương hưu như nhau</w:t>
      </w:r>
      <w:r w:rsidR="00156C2A">
        <w:rPr>
          <w:rFonts w:ascii="Times New Roman" w:eastAsia="Arial" w:hAnsi="Times New Roman" w:cs="Times New Roman"/>
          <w:sz w:val="28"/>
          <w:szCs w:val="28"/>
        </w:rPr>
        <w:t>,</w:t>
      </w:r>
      <w:r w:rsidRPr="0062052E">
        <w:rPr>
          <w:rFonts w:ascii="Times New Roman" w:eastAsia="Arial" w:hAnsi="Times New Roman" w:cs="Times New Roman"/>
          <w:sz w:val="28"/>
          <w:szCs w:val="28"/>
          <w:lang w:val="vi-VN"/>
        </w:rPr>
        <w:t xml:space="preserve"> do Chính phủ hỗ trợ từ các nguồn thu công để đảm bảo an sinh tuổi già cơ bản cho mọi người; </w:t>
      </w:r>
    </w:p>
    <w:p w:rsidR="00156C2A" w:rsidRDefault="0062052E" w:rsidP="003C7644">
      <w:pPr>
        <w:spacing w:before="120" w:after="120"/>
        <w:ind w:firstLine="720"/>
        <w:jc w:val="both"/>
        <w:rPr>
          <w:rFonts w:ascii="Times New Roman" w:eastAsia="Arial" w:hAnsi="Times New Roman" w:cs="Times New Roman"/>
          <w:sz w:val="28"/>
          <w:szCs w:val="28"/>
          <w:lang w:val="vi-VN"/>
        </w:rPr>
      </w:pPr>
      <w:r w:rsidRPr="00CF6581">
        <w:rPr>
          <w:rFonts w:ascii="Times New Roman" w:eastAsia="Arial" w:hAnsi="Times New Roman" w:cs="Times New Roman"/>
          <w:i/>
          <w:sz w:val="28"/>
          <w:szCs w:val="28"/>
          <w:lang w:val="vi-VN"/>
        </w:rPr>
        <w:t>Tầ</w:t>
      </w:r>
      <w:r w:rsidR="00156C2A" w:rsidRPr="00CF6581">
        <w:rPr>
          <w:rFonts w:ascii="Times New Roman" w:eastAsia="Arial" w:hAnsi="Times New Roman" w:cs="Times New Roman"/>
          <w:i/>
          <w:sz w:val="28"/>
          <w:szCs w:val="28"/>
          <w:lang w:val="vi-VN"/>
        </w:rPr>
        <w:t>ng 2</w:t>
      </w:r>
      <w:r w:rsidR="00156C2A">
        <w:rPr>
          <w:rFonts w:ascii="Times New Roman" w:eastAsia="Arial" w:hAnsi="Times New Roman" w:cs="Times New Roman"/>
          <w:sz w:val="28"/>
          <w:szCs w:val="28"/>
          <w:lang w:val="vi-VN"/>
        </w:rPr>
        <w:t xml:space="preserve"> -</w:t>
      </w:r>
      <w:r w:rsidRPr="0062052E">
        <w:rPr>
          <w:rFonts w:ascii="Times New Roman" w:eastAsia="Arial" w:hAnsi="Times New Roman" w:cs="Times New Roman"/>
          <w:sz w:val="28"/>
          <w:szCs w:val="28"/>
          <w:lang w:val="vi-VN"/>
        </w:rPr>
        <w:t xml:space="preserve"> cấu phần hưu trí bắt buộc dựa trên đóng góp từ thu nhập mà tương tự như hệ thống hiện nay của Bảo hiểm xã hội Việt Nam; </w:t>
      </w:r>
    </w:p>
    <w:p w:rsidR="0062052E" w:rsidRPr="0062052E" w:rsidRDefault="0062052E" w:rsidP="003C7644">
      <w:pPr>
        <w:spacing w:before="120" w:after="120"/>
        <w:ind w:firstLine="720"/>
        <w:jc w:val="both"/>
        <w:rPr>
          <w:rFonts w:ascii="Times New Roman" w:eastAsia="Arial" w:hAnsi="Times New Roman" w:cs="Times New Roman"/>
          <w:sz w:val="28"/>
          <w:szCs w:val="28"/>
          <w:lang w:val="vi-VN"/>
        </w:rPr>
      </w:pPr>
      <w:r w:rsidRPr="0062052E">
        <w:rPr>
          <w:rFonts w:ascii="Times New Roman" w:eastAsia="Arial" w:hAnsi="Times New Roman" w:cs="Times New Roman"/>
          <w:sz w:val="28"/>
          <w:szCs w:val="28"/>
          <w:lang w:val="vi-VN"/>
        </w:rPr>
        <w:t xml:space="preserve">và </w:t>
      </w:r>
      <w:r w:rsidRPr="00CF6581">
        <w:rPr>
          <w:rFonts w:ascii="Times New Roman" w:eastAsia="Arial" w:hAnsi="Times New Roman" w:cs="Times New Roman"/>
          <w:i/>
          <w:sz w:val="28"/>
          <w:szCs w:val="28"/>
          <w:lang w:val="vi-VN"/>
        </w:rPr>
        <w:t>Tầng 3</w:t>
      </w:r>
      <w:r w:rsidRPr="0062052E">
        <w:rPr>
          <w:rFonts w:ascii="Times New Roman" w:eastAsia="Arial" w:hAnsi="Times New Roman" w:cs="Times New Roman"/>
          <w:sz w:val="28"/>
          <w:szCs w:val="28"/>
          <w:lang w:val="vi-VN"/>
        </w:rPr>
        <w:t xml:space="preserve"> thường là cấu phần hưu trí bổ sung với mức đóng được xác định (DC) để cho phép người dân có thể hưởng mức hưu trí cao hơn.</w:t>
      </w:r>
    </w:p>
    <w:p w:rsidR="0062052E" w:rsidRPr="0062052E" w:rsidRDefault="0062052E" w:rsidP="003C7644">
      <w:pPr>
        <w:spacing w:before="120" w:after="120"/>
        <w:ind w:firstLine="720"/>
        <w:jc w:val="both"/>
        <w:rPr>
          <w:rFonts w:ascii="Times New Roman" w:eastAsia="Arial" w:hAnsi="Times New Roman" w:cs="Times New Roman"/>
          <w:sz w:val="28"/>
          <w:szCs w:val="28"/>
          <w:lang w:val="vi-VN"/>
        </w:rPr>
      </w:pPr>
      <w:r w:rsidRPr="0062052E">
        <w:rPr>
          <w:rFonts w:ascii="Times New Roman" w:eastAsia="Arial" w:hAnsi="Times New Roman" w:cs="Times New Roman"/>
          <w:sz w:val="28"/>
          <w:szCs w:val="28"/>
          <w:lang w:val="vi-VN"/>
        </w:rPr>
        <w:t>Ở khu vự</w:t>
      </w:r>
      <w:r w:rsidR="004E210D">
        <w:rPr>
          <w:rFonts w:ascii="Times New Roman" w:eastAsia="Arial" w:hAnsi="Times New Roman" w:cs="Times New Roman"/>
          <w:sz w:val="28"/>
          <w:szCs w:val="28"/>
          <w:lang w:val="vi-VN"/>
        </w:rPr>
        <w:t xml:space="preserve">c </w:t>
      </w:r>
      <w:r w:rsidR="004E210D">
        <w:rPr>
          <w:rFonts w:ascii="Times New Roman" w:eastAsia="Arial" w:hAnsi="Times New Roman" w:cs="Times New Roman"/>
          <w:sz w:val="28"/>
          <w:szCs w:val="28"/>
        </w:rPr>
        <w:t>C</w:t>
      </w:r>
      <w:r w:rsidRPr="0062052E">
        <w:rPr>
          <w:rFonts w:ascii="Times New Roman" w:eastAsia="Arial" w:hAnsi="Times New Roman" w:cs="Times New Roman"/>
          <w:sz w:val="28"/>
          <w:szCs w:val="28"/>
          <w:lang w:val="vi-VN"/>
        </w:rPr>
        <w:t>hâu Á Thái Bình Dương, một số quốc gia đã có các hệ thống hưu trí trong đó ngân sách Nhà nước tạo nên một phần quan trọng của cơ chế tài chính. Một số ví dụ như Bờ-ru-nây, Trung Quốc, Nhật Bản, Hàn Quốc, Malaysia, Mông Cổ, Philippines, Thái Lan, Đông Timor và gần đây nhất là Myanmar dành cho những người trên 90 tuổi.</w:t>
      </w:r>
      <w:r w:rsidR="00DC52F4">
        <w:rPr>
          <w:rFonts w:ascii="Times New Roman" w:eastAsia="Arial" w:hAnsi="Times New Roman" w:cs="Times New Roman"/>
          <w:sz w:val="28"/>
          <w:szCs w:val="28"/>
        </w:rPr>
        <w:t xml:space="preserve"> </w:t>
      </w:r>
    </w:p>
    <w:p w:rsidR="00156C2A" w:rsidRDefault="0062052E" w:rsidP="003C7644">
      <w:pPr>
        <w:spacing w:before="120" w:after="120"/>
        <w:ind w:firstLine="720"/>
        <w:jc w:val="both"/>
        <w:rPr>
          <w:rFonts w:ascii="Times New Roman" w:eastAsia="Arial" w:hAnsi="Times New Roman" w:cs="Times New Roman"/>
          <w:sz w:val="28"/>
          <w:szCs w:val="28"/>
          <w:lang w:val="vi-VN"/>
        </w:rPr>
      </w:pPr>
      <w:r w:rsidRPr="0062052E">
        <w:rPr>
          <w:rFonts w:ascii="Times New Roman" w:eastAsia="Arial" w:hAnsi="Times New Roman" w:cs="Times New Roman"/>
          <w:sz w:val="28"/>
          <w:szCs w:val="28"/>
          <w:lang w:val="vi-VN"/>
        </w:rPr>
        <w:t xml:space="preserve">Thực tiễn này của các quốc gia cho thấy có rất nhiều phương án khác nhau  để xây dựng tầng hưu trí xã hội cơ bản phổ cập trong khi vẫn cân bằng được các mục tiêu khác nhau của chế độ hưu trí và các cơ chế tài chính. </w:t>
      </w:r>
    </w:p>
    <w:p w:rsidR="00156C2A" w:rsidRDefault="0062052E" w:rsidP="003C7644">
      <w:pPr>
        <w:spacing w:before="120" w:after="120"/>
        <w:ind w:firstLine="720"/>
        <w:jc w:val="both"/>
        <w:rPr>
          <w:rFonts w:ascii="Times New Roman" w:eastAsia="Arial" w:hAnsi="Times New Roman" w:cs="Times New Roman"/>
          <w:sz w:val="28"/>
          <w:szCs w:val="28"/>
          <w:lang w:val="vi-VN"/>
        </w:rPr>
      </w:pPr>
      <w:r w:rsidRPr="0062052E">
        <w:rPr>
          <w:rFonts w:ascii="Times New Roman" w:eastAsia="Arial" w:hAnsi="Times New Roman" w:cs="Times New Roman"/>
          <w:sz w:val="28"/>
          <w:szCs w:val="28"/>
          <w:lang w:val="vi-VN"/>
        </w:rPr>
        <w:t xml:space="preserve">Các quốc gia như Bờ-ru-nây, Thái Lan và Đông Timor đã áp dụng các cơ chế hưu trí phổ cập được lấy từ nguồn  thuế, quy định một khoản lương hưu như nhau được chi trả hàng tháng cho tất cả người dân trên độ tuổi nghỉ hưu. Những hệ thống này có lợi thế là hướng tới diện bao phủ toàn dân bằng việc đảm bảo cho mọi người dân có ít nhất một khoản thu nhập tối thiểu khi đến tuổi hưởng hưu trí. </w:t>
      </w:r>
    </w:p>
    <w:p w:rsidR="00156C2A" w:rsidRDefault="0062052E" w:rsidP="003C7644">
      <w:pPr>
        <w:spacing w:before="120" w:after="120"/>
        <w:ind w:firstLine="720"/>
        <w:jc w:val="both"/>
        <w:rPr>
          <w:rFonts w:ascii="Times New Roman" w:eastAsia="Arial" w:hAnsi="Times New Roman" w:cs="Times New Roman"/>
          <w:sz w:val="28"/>
          <w:szCs w:val="28"/>
          <w:lang w:val="vi-VN"/>
        </w:rPr>
      </w:pPr>
      <w:r w:rsidRPr="0062052E">
        <w:rPr>
          <w:rFonts w:ascii="Times New Roman" w:eastAsia="Arial" w:hAnsi="Times New Roman" w:cs="Times New Roman"/>
          <w:sz w:val="28"/>
          <w:szCs w:val="28"/>
          <w:lang w:val="vi-VN"/>
        </w:rPr>
        <w:t xml:space="preserve">Các quốc gia khác, ví dụ như Mông Cổ, thì áp dụng chương trình dựa trên thẩm tra hưu trí hướng đến những người không được hưởng trợ cấp từ các chương trình hưu trí khác. Các quốc gia như Indonesia, Malaysia và Philippines thì có chương trình hưu trí dựa trên đánh giá gia cảnh hướng đến những người không đạt tới mức  thu nhập tối thiểu từ lương hưu và các nguồn khác, nhưng đến nay thì độ bao phủ vẫn còn khá thấp. </w:t>
      </w:r>
    </w:p>
    <w:p w:rsidR="0062052E" w:rsidRPr="0062052E" w:rsidRDefault="0062052E" w:rsidP="003C7644">
      <w:pPr>
        <w:spacing w:before="120" w:after="120"/>
        <w:ind w:firstLine="720"/>
        <w:jc w:val="both"/>
        <w:rPr>
          <w:rFonts w:ascii="Times New Roman" w:eastAsia="Arial" w:hAnsi="Times New Roman" w:cs="Times New Roman"/>
          <w:sz w:val="28"/>
          <w:szCs w:val="28"/>
          <w:lang w:val="vi-VN"/>
        </w:rPr>
      </w:pPr>
      <w:r w:rsidRPr="0062052E">
        <w:rPr>
          <w:rFonts w:ascii="Times New Roman" w:eastAsia="Arial" w:hAnsi="Times New Roman" w:cs="Times New Roman"/>
          <w:sz w:val="28"/>
          <w:szCs w:val="28"/>
          <w:lang w:val="vi-VN"/>
        </w:rPr>
        <w:t xml:space="preserve">Hàn Quốc hoàn  thành  việc bao phủ phổ cập bằng  việc bổ sung  cho chương trình với mức  hưởng được xác định (Dịch vụ hưu trí quốc  gia) với một chương trình hưu trí cơ bản  dựa trên đánh giá gia cảnh do thuế  tài trợ dành cho </w:t>
      </w:r>
      <w:r w:rsidRPr="0062052E">
        <w:rPr>
          <w:rFonts w:ascii="Times New Roman" w:eastAsia="Arial" w:hAnsi="Times New Roman" w:cs="Times New Roman"/>
          <w:sz w:val="28"/>
          <w:szCs w:val="28"/>
          <w:lang w:val="vi-VN"/>
        </w:rPr>
        <w:lastRenderedPageBreak/>
        <w:t xml:space="preserve">người trên 65 tuổi có thu nhập thấp. Trên thực tế chương trình phổ cập của Hàn Quốc đã đảm bảo mọi người dân trên tuổi nghỉ hưu đều được hưởng lương hưu. </w:t>
      </w:r>
    </w:p>
    <w:p w:rsidR="0062052E" w:rsidRPr="0062052E" w:rsidRDefault="0062052E" w:rsidP="003C7644">
      <w:pPr>
        <w:spacing w:before="120" w:after="120"/>
        <w:ind w:firstLine="720"/>
        <w:jc w:val="both"/>
        <w:rPr>
          <w:rFonts w:ascii="Times New Roman" w:eastAsia="Arial" w:hAnsi="Times New Roman" w:cs="Times New Roman"/>
          <w:sz w:val="28"/>
          <w:szCs w:val="28"/>
          <w:lang w:val="vi-VN"/>
        </w:rPr>
      </w:pPr>
      <w:r w:rsidRPr="0062052E">
        <w:rPr>
          <w:rFonts w:ascii="Times New Roman" w:eastAsia="Arial" w:hAnsi="Times New Roman" w:cs="Times New Roman"/>
          <w:sz w:val="28"/>
          <w:szCs w:val="28"/>
          <w:lang w:val="vi-VN"/>
        </w:rPr>
        <w:t>Các chương trình hưu trí dựa trên đánh giá gia cảnh đảm bảo diện bao phủ phổ cập thường được thấy ở các quốc gia có năng lực hành chính để đo lường mức thu nhập một cách hiệu quả và ở đó đa số người cao tuổi thuộc diện bao phủ của các chương trình bảo hiểm xã hội</w:t>
      </w:r>
      <w:r w:rsidR="00834117">
        <w:rPr>
          <w:rFonts w:ascii="Times New Roman" w:eastAsia="Arial" w:hAnsi="Times New Roman" w:cs="Times New Roman"/>
          <w:sz w:val="28"/>
          <w:szCs w:val="28"/>
        </w:rPr>
        <w:t>.</w:t>
      </w:r>
    </w:p>
    <w:p w:rsidR="003C7644" w:rsidRPr="003C7644" w:rsidRDefault="003C7644" w:rsidP="003C7644">
      <w:pPr>
        <w:spacing w:before="120" w:after="120"/>
        <w:ind w:firstLine="720"/>
        <w:jc w:val="both"/>
        <w:rPr>
          <w:rFonts w:ascii="Times New Roman" w:eastAsia="Arial" w:hAnsi="Times New Roman" w:cs="Times New Roman"/>
          <w:b/>
          <w:sz w:val="28"/>
          <w:szCs w:val="28"/>
        </w:rPr>
      </w:pPr>
      <w:r w:rsidRPr="003C7644">
        <w:rPr>
          <w:rFonts w:ascii="Times New Roman" w:eastAsia="Arial" w:hAnsi="Times New Roman" w:cs="Times New Roman"/>
          <w:b/>
          <w:sz w:val="28"/>
          <w:szCs w:val="28"/>
        </w:rPr>
        <w:t>2. Trường hợp Trung Quốc</w:t>
      </w:r>
    </w:p>
    <w:p w:rsidR="0062052E" w:rsidRPr="0062052E" w:rsidRDefault="0062052E" w:rsidP="003C7644">
      <w:pPr>
        <w:spacing w:before="120" w:after="120"/>
        <w:ind w:firstLine="720"/>
        <w:jc w:val="both"/>
        <w:rPr>
          <w:rFonts w:ascii="Times New Roman" w:eastAsia="Arial" w:hAnsi="Times New Roman" w:cs="Times New Roman"/>
          <w:sz w:val="28"/>
          <w:szCs w:val="28"/>
          <w:lang w:val="vi-VN"/>
        </w:rPr>
      </w:pPr>
      <w:r w:rsidRPr="0062052E">
        <w:rPr>
          <w:rFonts w:ascii="Times New Roman" w:eastAsia="Arial" w:hAnsi="Times New Roman" w:cs="Times New Roman"/>
          <w:sz w:val="28"/>
          <w:szCs w:val="28"/>
          <w:lang w:val="vi-VN"/>
        </w:rPr>
        <w:t>Trung Quốc là quốc gia có thể chế chính trị tương đồng với Việt Nam đ</w:t>
      </w:r>
      <w:r w:rsidR="003C7644">
        <w:rPr>
          <w:rFonts w:ascii="Times New Roman" w:eastAsia="Arial" w:hAnsi="Times New Roman" w:cs="Times New Roman"/>
          <w:sz w:val="28"/>
          <w:szCs w:val="28"/>
        </w:rPr>
        <w:t>ã</w:t>
      </w:r>
      <w:r w:rsidRPr="0062052E">
        <w:rPr>
          <w:rFonts w:ascii="Times New Roman" w:eastAsia="Arial" w:hAnsi="Times New Roman" w:cs="Times New Roman"/>
          <w:sz w:val="28"/>
          <w:szCs w:val="28"/>
          <w:lang w:val="vi-VN"/>
        </w:rPr>
        <w:t xml:space="preserve"> có những cải cách mạnh mẽ trong chính sách </w:t>
      </w:r>
      <w:r w:rsidR="00286EB5">
        <w:rPr>
          <w:rFonts w:ascii="Times New Roman" w:eastAsia="Arial" w:hAnsi="Times New Roman" w:cs="Times New Roman"/>
          <w:sz w:val="28"/>
          <w:szCs w:val="28"/>
        </w:rPr>
        <w:t>BHXH</w:t>
      </w:r>
      <w:r w:rsidRPr="0062052E">
        <w:rPr>
          <w:rFonts w:ascii="Times New Roman" w:eastAsia="Arial" w:hAnsi="Times New Roman" w:cs="Times New Roman"/>
          <w:sz w:val="28"/>
          <w:szCs w:val="28"/>
          <w:lang w:val="vi-VN"/>
        </w:rPr>
        <w:t xml:space="preserve"> của mình mở rộng diện bao phủ bảo hiểm. Những </w:t>
      </w:r>
      <w:r w:rsidRPr="005B2580">
        <w:rPr>
          <w:rFonts w:ascii="Times New Roman" w:eastAsia="Arial" w:hAnsi="Times New Roman" w:cs="Times New Roman"/>
          <w:sz w:val="28"/>
          <w:szCs w:val="28"/>
          <w:lang w:val="vi-VN"/>
        </w:rPr>
        <w:t>kinh nghiệm đó</w:t>
      </w:r>
      <w:r w:rsidRPr="0062052E">
        <w:rPr>
          <w:rFonts w:ascii="Times New Roman" w:eastAsia="Arial" w:hAnsi="Times New Roman" w:cs="Times New Roman"/>
          <w:sz w:val="28"/>
          <w:szCs w:val="28"/>
          <w:lang w:val="vi-VN"/>
        </w:rPr>
        <w:t xml:space="preserve"> là hệ thống hưu trí với các tầng bắt buộc cho mọi người dân, bao gồm: </w:t>
      </w:r>
    </w:p>
    <w:p w:rsidR="0062052E" w:rsidRPr="0062052E" w:rsidRDefault="0062052E" w:rsidP="003C7644">
      <w:pPr>
        <w:spacing w:before="120" w:after="120"/>
        <w:ind w:firstLine="720"/>
        <w:jc w:val="both"/>
        <w:rPr>
          <w:rFonts w:ascii="Times New Roman" w:eastAsia="Arial" w:hAnsi="Times New Roman" w:cs="Times New Roman"/>
          <w:sz w:val="28"/>
          <w:szCs w:val="28"/>
          <w:lang w:val="vi-VN"/>
        </w:rPr>
      </w:pPr>
      <w:r w:rsidRPr="005B2580">
        <w:rPr>
          <w:rFonts w:ascii="Times New Roman" w:eastAsia="Arial" w:hAnsi="Times New Roman" w:cs="Times New Roman"/>
          <w:sz w:val="28"/>
          <w:szCs w:val="28"/>
          <w:lang w:val="vi-VN"/>
        </w:rPr>
        <w:t>Lương hưu BHXH cơ bản (BHXH, theo văn bản hướng dẫn của Chính quyền Tru</w:t>
      </w:r>
      <w:r w:rsidR="00286EB5" w:rsidRPr="005B2580">
        <w:rPr>
          <w:rFonts w:ascii="Times New Roman" w:eastAsia="Arial" w:hAnsi="Times New Roman" w:cs="Times New Roman"/>
          <w:sz w:val="28"/>
          <w:szCs w:val="28"/>
          <w:lang w:val="vi-VN"/>
        </w:rPr>
        <w:t>ng ư</w:t>
      </w:r>
      <w:r w:rsidRPr="005B2580">
        <w:rPr>
          <w:rFonts w:ascii="Times New Roman" w:eastAsia="Arial" w:hAnsi="Times New Roman" w:cs="Times New Roman"/>
          <w:sz w:val="28"/>
          <w:szCs w:val="28"/>
          <w:lang w:val="vi-VN"/>
        </w:rPr>
        <w:t>ơng): Lương hưu được tính bằng mức bình quân tiền lương tháng trên địa bàn trong năm trước liền kề cộng với mức bình quân tiền lương tháng đóng BHXH của người lao động, lấy tổng chia hai, nhân kết quả này với 1% cho mỗi năm đóng BHXH. Mức bình quân tiền lương tháng đóng BHXH của người lao động là mức bình quân thu nhập hàng tháng của người lao động tham gia BHXH điều chỉnh theo mức bình quân tiền lương tháng trên địa bàn. Lương hưu tối thiểu (kết hợp giữa BHXH và tài khoản hưu trí cá nhân bắt buộc theo luật định) thường dao động trong khoảng 40% -</w:t>
      </w:r>
      <w:r w:rsidRPr="0062052E">
        <w:rPr>
          <w:rFonts w:ascii="Times New Roman" w:eastAsia="Arial" w:hAnsi="Times New Roman" w:cs="Times New Roman"/>
          <w:sz w:val="28"/>
          <w:szCs w:val="28"/>
          <w:lang w:val="vi-VN"/>
        </w:rPr>
        <w:t xml:space="preserve"> 60% mức bình quân tiền lương tháng trên địa bàn trong năm trước liền kề, tuỳ thuộc vào từng khu vực. Đối với trường hợp hưởng lương hưu sớm: Lương hưu được tính căn cứ trên mức bình quân tiền lương tháng trên địa bàn trong năm trước liền kề, mức bình quân tiền lương tháng đóng BHXH của người lao động, và số năm đóng BHXH.</w:t>
      </w:r>
    </w:p>
    <w:p w:rsidR="0062052E" w:rsidRPr="0062052E" w:rsidRDefault="0062052E" w:rsidP="003C7644">
      <w:pPr>
        <w:spacing w:before="120" w:after="120"/>
        <w:ind w:firstLine="720"/>
        <w:jc w:val="both"/>
        <w:rPr>
          <w:rFonts w:ascii="Times New Roman" w:eastAsia="Arial" w:hAnsi="Times New Roman" w:cs="Times New Roman"/>
          <w:sz w:val="28"/>
          <w:szCs w:val="28"/>
          <w:lang w:val="vi-VN"/>
        </w:rPr>
      </w:pPr>
      <w:r w:rsidRPr="005B2580">
        <w:rPr>
          <w:rFonts w:ascii="Times New Roman" w:eastAsia="Arial" w:hAnsi="Times New Roman" w:cs="Times New Roman"/>
          <w:sz w:val="28"/>
          <w:szCs w:val="28"/>
          <w:lang w:val="vi-VN"/>
        </w:rPr>
        <w:t>Lương hưu BHXH cơ bản (tài khoản hưu trí cá nhân bắt buộc theo luật định, theo văn bản hướng dẫn của Chính quyền Trung ương):</w:t>
      </w:r>
      <w:r w:rsidRPr="0062052E">
        <w:rPr>
          <w:rFonts w:ascii="Times New Roman" w:eastAsia="Arial" w:hAnsi="Times New Roman" w:cs="Times New Roman"/>
          <w:sz w:val="28"/>
          <w:szCs w:val="28"/>
          <w:lang w:val="vi-VN"/>
        </w:rPr>
        <w:t xml:space="preserve"> Lương hưu hàng tháng được tính bằng tổng số tiền đóng BHXH của người lao động, cộng với lãi dồn tích, chia cho số tháng được đánh giá có đóng bảo hiểm. Số tháng được đánh giá có đóng bảo hiểm dao động trong </w:t>
      </w:r>
      <w:r w:rsidRPr="005B2580">
        <w:rPr>
          <w:rFonts w:ascii="Times New Roman" w:eastAsia="Arial" w:hAnsi="Times New Roman" w:cs="Times New Roman"/>
          <w:sz w:val="28"/>
          <w:szCs w:val="28"/>
          <w:lang w:val="vi-VN"/>
        </w:rPr>
        <w:t>khoảng 233-56, tuỳ thuộc</w:t>
      </w:r>
      <w:r w:rsidRPr="0062052E">
        <w:rPr>
          <w:rFonts w:ascii="Times New Roman" w:eastAsia="Arial" w:hAnsi="Times New Roman" w:cs="Times New Roman"/>
          <w:sz w:val="28"/>
          <w:szCs w:val="28"/>
          <w:lang w:val="vi-VN"/>
        </w:rPr>
        <w:t xml:space="preserve"> vào độ tuổi của người lao động tham gia BHXH, được điều chỉnh định kỳ theo tuổi thọ kỳ vọng trung bình của người dân thành thị và lãi suất. Số tháng được đánh giá có đóng bảo hiểm của người lao động nghỉ hưu khi 60 tuổi là 139. Chính quyền địa phương chịu trách nhiệm thu xếp cơ chế chuyển đổi cho người lao động thuộc nhóm đối tượng bắt đầu công tác trước khi áp dụng quy định về tài khoản hưu trí cá nhân bắt buộc vào năm 1997 và nhóm đối tượng bắt đầu nghỉ hưu từ ngày 01/01/2006 trở đi. Sau khi số tiền từ tài khoản hưu trí cá nhân đã được dùng hết để trả lương hưu hàng tháng cho người lao động, thì nguồn quỹ chung trên địa bàn sẽ được sử </w:t>
      </w:r>
      <w:r w:rsidRPr="0062052E">
        <w:rPr>
          <w:rFonts w:ascii="Times New Roman" w:eastAsia="Arial" w:hAnsi="Times New Roman" w:cs="Times New Roman"/>
          <w:sz w:val="28"/>
          <w:szCs w:val="28"/>
          <w:lang w:val="vi-VN"/>
        </w:rPr>
        <w:lastRenderedPageBreak/>
        <w:t>dụng để trả lương hưu. Lương hưu tối thiểu (kết hợp giữa BHXH và tài khoản hưu trí cá nhân bắt buộc theo luật định) thường dao động trong khoảng 40% - 60% mức bình quân tiền lương tháng trên địa bàn trong năm trước liền kề, tuỳ thuộc vào từng khu vực. Đối với trường hợp hưởng lương hưu sớm: Lương hưu hàng tháng được tính căn cứ trên tổng số tiền đóng BHXH của người lao động, cộng với lãi dồn tích, chia cho số tháng được đánh giá có đóng bảo hiểm. Trường hợp người lao động không đủ 15 năm đóng BHXH thì được hưởng BHXH một lần bằng với số dư tài khoản hưu trí cá nhân, trừ trường hợp chuyển số tiền này sang chương trình hưu trí cho người dân nông thôn và người dân thành thị không có việc làm hưởng lương.</w:t>
      </w:r>
    </w:p>
    <w:p w:rsidR="0062052E" w:rsidRPr="0062052E" w:rsidRDefault="0062052E" w:rsidP="003C7644">
      <w:pPr>
        <w:spacing w:before="120" w:after="120"/>
        <w:ind w:firstLine="720"/>
        <w:jc w:val="both"/>
        <w:rPr>
          <w:rFonts w:ascii="Times New Roman" w:eastAsia="Arial" w:hAnsi="Times New Roman" w:cs="Times New Roman"/>
          <w:sz w:val="28"/>
          <w:szCs w:val="28"/>
          <w:lang w:val="vi-VN"/>
        </w:rPr>
      </w:pPr>
      <w:r w:rsidRPr="0062052E">
        <w:rPr>
          <w:rFonts w:ascii="Times New Roman" w:eastAsia="Arial" w:hAnsi="Times New Roman" w:cs="Times New Roman"/>
          <w:sz w:val="28"/>
          <w:szCs w:val="28"/>
          <w:lang w:val="vi-VN"/>
        </w:rPr>
        <w:t>Chương trình hưu trí cho người dân nông thôn và người dân thành thị không có việc làm hưởng lương (chương trình hưu trí không đóng góp): Mức hưởng lương hưu hàng tháng thấp nhấp là 70 Nhân dân tệ (NDT). Tại một số địa bàn, mức lương hưu được điều chỉnh tăng theo độ tuổi.</w:t>
      </w:r>
    </w:p>
    <w:p w:rsidR="0062052E" w:rsidRDefault="0062052E" w:rsidP="003C7644">
      <w:pPr>
        <w:spacing w:before="120" w:after="120"/>
        <w:ind w:firstLine="720"/>
        <w:jc w:val="both"/>
        <w:rPr>
          <w:rFonts w:ascii="Times New Roman" w:eastAsia="Arial" w:hAnsi="Times New Roman" w:cs="Times New Roman"/>
          <w:sz w:val="28"/>
          <w:szCs w:val="28"/>
          <w:lang w:val="vi-VN"/>
        </w:rPr>
      </w:pPr>
      <w:r w:rsidRPr="0062052E">
        <w:rPr>
          <w:rFonts w:ascii="Times New Roman" w:eastAsia="Arial" w:hAnsi="Times New Roman" w:cs="Times New Roman"/>
          <w:sz w:val="28"/>
          <w:szCs w:val="28"/>
          <w:lang w:val="vi-VN"/>
        </w:rPr>
        <w:t>Chương trình hưu trí cho người dân nông thôn và người dân thành thị không có việc làm hưởng lương (tài khoản hưu trí cá nhân): Lương hưu hàng tháng được tính bằng tổng số tiền đóng BHXH của người lao động và của Chính phủ/chính quyền, cộng với lãi dồn tích, chia cho số tháng được đánh giá có đóng bảo hiểm. Số tháng được đánh giá có đóng bảo hiểm là 139  và được điều chỉnh định kỳ theo tuổi thọ kỳ vọng trung bình của người dân thành thị và lãi suất. Sau khi đã dùng hết số tiền từ tài khoản hưu trí cá nhân theo luật định để trả lương hưu hàng tháng cho người lao động, thì nguồn quỹ chung trên địa bàn sẽ được sử dụng để trả lương hưu.</w:t>
      </w:r>
    </w:p>
    <w:p w:rsidR="001F3F26" w:rsidRPr="001F3F26" w:rsidRDefault="001F3F26" w:rsidP="001F3F26">
      <w:pPr>
        <w:spacing w:before="120" w:after="0"/>
        <w:ind w:firstLine="720"/>
        <w:jc w:val="both"/>
        <w:rPr>
          <w:rFonts w:ascii="Times New Roman" w:eastAsia="Arial" w:hAnsi="Times New Roman" w:cs="Times New Roman"/>
          <w:b/>
          <w:sz w:val="28"/>
          <w:szCs w:val="28"/>
        </w:rPr>
      </w:pPr>
      <w:r w:rsidRPr="001F3F26">
        <w:rPr>
          <w:rFonts w:ascii="Times New Roman" w:eastAsia="Arial" w:hAnsi="Times New Roman" w:cs="Times New Roman"/>
          <w:b/>
          <w:sz w:val="28"/>
          <w:szCs w:val="28"/>
        </w:rPr>
        <w:t>3. Trường hợp Hàn Quốc và một số nước khác</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Hệ thống hưu trí của Hàn Quốc cũng bao gồm các chế độ trợ cấp khác nhau. Chế độ hưu trí quốc gia là một hệ thống được hỗ trợ tài chính một phần và mức hưởng xác định (DB) quy định bảo hiểm cho 53% số người trong lực lượng lao động. Người sử dụng lao động và người lao động đóng góp lần lượt 4,5% tổng lương vào hệ thống. Công thức tính mức hưởng trợ cấp bao gồm một khoản cơ bản và khoản dựa trên thu nhập. Hệ thống này được thực hiện theo từng bước và áp dụng tỷ lệ cộng dồn trung bình là 1,5% trong toàn bộ khoảng thời gian đóng góp 40 năm với mức hưu trí tối đa được hưởng khi người đóng bảo hiểm đến tuổi 60. Độ tuổi nghỉ hưu sẽ tăng lên 65 tuổi vào năm 2033. Hàn Quốc cũng thực hiện các chế độ hưu trí bổ sung cho người lao động trong khu vực công. Những chế độ này được giới thiệu vào thời điểm trước khi chế độ hưu trí quốc gia xuất hiện và được vận hành độc lập với chế độ này. Những chế độ này vận hành theo nguyên </w:t>
      </w:r>
      <w:r w:rsidRPr="001F3F26">
        <w:rPr>
          <w:rFonts w:ascii="Times New Roman" w:hAnsi="Times New Roman" w:cs="Times New Roman"/>
          <w:sz w:val="28"/>
          <w:lang w:val="en-GB"/>
        </w:rPr>
        <w:lastRenderedPageBreak/>
        <w:t xml:space="preserve">tắc đóng theo nhu cầu và được tính theo thu nhập của người nằm trong quy định bảo hiểm. </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Hàn Quốc có hai hệ thống hưu trí nghề nghiệp tồn tại song song. Hệ thống trợ cấp thôi việc đứng đầu trong hệ thống Hưu trí quốc gia và được áp dụng bắt buộc đối với các doanh nghiệp có từ </w:t>
      </w:r>
      <w:r w:rsidR="00286EB5">
        <w:rPr>
          <w:rFonts w:ascii="Times New Roman" w:hAnsi="Times New Roman" w:cs="Times New Roman"/>
          <w:sz w:val="28"/>
          <w:lang w:val="en-GB"/>
        </w:rPr>
        <w:t>05 (</w:t>
      </w:r>
      <w:r w:rsidRPr="001F3F26">
        <w:rPr>
          <w:rFonts w:ascii="Times New Roman" w:hAnsi="Times New Roman" w:cs="Times New Roman"/>
          <w:sz w:val="28"/>
          <w:lang w:val="en-GB"/>
        </w:rPr>
        <w:t>năm</w:t>
      </w:r>
      <w:r w:rsidR="00286EB5">
        <w:rPr>
          <w:rFonts w:ascii="Times New Roman" w:hAnsi="Times New Roman" w:cs="Times New Roman"/>
          <w:sz w:val="28"/>
          <w:lang w:val="en-GB"/>
        </w:rPr>
        <w:t>)</w:t>
      </w:r>
      <w:r w:rsidRPr="001F3F26">
        <w:rPr>
          <w:rFonts w:ascii="Times New Roman" w:hAnsi="Times New Roman" w:cs="Times New Roman"/>
          <w:sz w:val="28"/>
          <w:lang w:val="en-GB"/>
        </w:rPr>
        <w:t xml:space="preserve"> nhân viên trở lên. Nhân viên được quyền hưởng trợ cấp thôi việc sau khi đã có khoảng thời gian làm việc liên tục một năm. Những khoản chi trả này chủ yếu được thực hiện dưới hình thức chi trả một lần và ứng với số năm công tác x trung bình lương hàng tháng của ba tháng cuối cùng. Theo Luật An ninh Hưu trí Người lao động </w:t>
      </w:r>
      <w:r w:rsidRPr="001F3F26">
        <w:rPr>
          <w:rFonts w:ascii="Times New Roman" w:hAnsi="Times New Roman" w:cs="Times New Roman"/>
          <w:sz w:val="28"/>
        </w:rPr>
        <w:t xml:space="preserve">(ERSA), hệ thống hưu trí doanh nghiệp vận hành trên cơ sở tự nguyện. Các doanh nghiệp có </w:t>
      </w:r>
      <w:r w:rsidR="00B465BB">
        <w:rPr>
          <w:rFonts w:ascii="Times New Roman" w:hAnsi="Times New Roman" w:cs="Times New Roman"/>
          <w:sz w:val="28"/>
        </w:rPr>
        <w:t>05 (</w:t>
      </w:r>
      <w:r w:rsidRPr="001F3F26">
        <w:rPr>
          <w:rFonts w:ascii="Times New Roman" w:hAnsi="Times New Roman" w:cs="Times New Roman"/>
          <w:sz w:val="28"/>
        </w:rPr>
        <w:t>năm</w:t>
      </w:r>
      <w:r w:rsidR="00B465BB">
        <w:rPr>
          <w:rFonts w:ascii="Times New Roman" w:hAnsi="Times New Roman" w:cs="Times New Roman"/>
          <w:sz w:val="28"/>
        </w:rPr>
        <w:t>)</w:t>
      </w:r>
      <w:r w:rsidRPr="001F3F26">
        <w:rPr>
          <w:rFonts w:ascii="Times New Roman" w:hAnsi="Times New Roman" w:cs="Times New Roman"/>
          <w:sz w:val="28"/>
        </w:rPr>
        <w:t xml:space="preserve"> nhân viên trở lên có thể chuyển đổi trợ cấp thôi việc thành khoản hưu trí doanh nghiệp. Tuy nhiên, việc chuyển đổi này cần có sự đồng thuận giữa người chủ lao động và người lao động. Khác với hệ thống trợ cấp thôi việc, các doanh nghiệp có ít hơn </w:t>
      </w:r>
      <w:r w:rsidR="00B465BB">
        <w:rPr>
          <w:rFonts w:ascii="Times New Roman" w:hAnsi="Times New Roman" w:cs="Times New Roman"/>
          <w:sz w:val="28"/>
        </w:rPr>
        <w:t>05 (</w:t>
      </w:r>
      <w:r w:rsidRPr="001F3F26">
        <w:rPr>
          <w:rFonts w:ascii="Times New Roman" w:hAnsi="Times New Roman" w:cs="Times New Roman"/>
          <w:sz w:val="28"/>
        </w:rPr>
        <w:t>năm</w:t>
      </w:r>
      <w:r w:rsidR="00B465BB">
        <w:rPr>
          <w:rFonts w:ascii="Times New Roman" w:hAnsi="Times New Roman" w:cs="Times New Roman"/>
          <w:sz w:val="28"/>
        </w:rPr>
        <w:t>)</w:t>
      </w:r>
      <w:r w:rsidRPr="001F3F26">
        <w:rPr>
          <w:rFonts w:ascii="Times New Roman" w:hAnsi="Times New Roman" w:cs="Times New Roman"/>
          <w:sz w:val="28"/>
        </w:rPr>
        <w:t xml:space="preserve"> lao động toàn thời gian và bán thời gian được phép tham gia một hệ thống mới. Người lao động có thể tự nguyện đóng góp. Hệ thống này cho phép thực hiện cả kế hoạch DB và DC. Những nhà tài trợ kế hoạch, dự án và đối tượng hưởng lợi được tự do lựa chọn chương trình mà họ mong muốn.</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Bên cạnh các chế độ trợ cấp đã được đề cập còn có các chương trình hưu trí cá nhân và chương trình tiết kiệm thực hiện trên cơ sở tự nguyện. Những chương trình này tạo nên trụ cột thứ ba trong hệ thống hưu trí của Hàn Quốc. Quy định miễn giảm thuế cũng được ban hành nhằm khuyến khích các đối tượng tham gia.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925"/>
        <w:gridCol w:w="340"/>
        <w:gridCol w:w="1271"/>
        <w:gridCol w:w="372"/>
        <w:gridCol w:w="793"/>
        <w:gridCol w:w="1564"/>
        <w:gridCol w:w="247"/>
        <w:gridCol w:w="1029"/>
        <w:gridCol w:w="900"/>
      </w:tblGrid>
      <w:tr w:rsidR="001F3F26" w:rsidRPr="00A30410" w:rsidTr="00D6056B">
        <w:trPr>
          <w:trHeight w:val="424"/>
          <w:jc w:val="center"/>
        </w:trPr>
        <w:tc>
          <w:tcPr>
            <w:tcW w:w="1925" w:type="dxa"/>
            <w:tcBorders>
              <w:top w:val="single" w:sz="2" w:space="0" w:color="000000"/>
              <w:left w:val="single" w:sz="2" w:space="0" w:color="000000"/>
              <w:bottom w:val="single" w:sz="2" w:space="0" w:color="000000"/>
              <w:right w:val="single" w:sz="2" w:space="0" w:color="000000"/>
              <w:tl2br w:val="nil"/>
              <w:tr2bl w:val="nil"/>
            </w:tcBorders>
            <w:vAlign w:val="center"/>
          </w:tcPr>
          <w:p w:rsidR="001F3F26" w:rsidRPr="00A30410" w:rsidRDefault="001F3F26" w:rsidP="00D6056B">
            <w:pPr>
              <w:pStyle w:val="a"/>
              <w:wordWrap/>
              <w:spacing w:line="276" w:lineRule="auto"/>
              <w:jc w:val="center"/>
              <w:rPr>
                <w:rFonts w:asciiTheme="minorHAnsi" w:hAnsiTheme="minorHAnsi" w:cs="Arial"/>
                <w:sz w:val="22"/>
                <w:szCs w:val="22"/>
              </w:rPr>
            </w:pPr>
            <w:r>
              <w:rPr>
                <w:rFonts w:asciiTheme="minorHAnsi" w:eastAsia="HCI Tulip" w:hAnsiTheme="minorHAnsi" w:cs="Arial"/>
                <w:sz w:val="22"/>
                <w:szCs w:val="22"/>
              </w:rPr>
              <w:t>Trụ cột</w:t>
            </w:r>
            <w:r w:rsidRPr="00A30410">
              <w:rPr>
                <w:rFonts w:asciiTheme="minorHAnsi" w:eastAsia="HCI Tulip" w:hAnsiTheme="minorHAnsi" w:cs="Arial"/>
                <w:sz w:val="22"/>
                <w:szCs w:val="22"/>
              </w:rPr>
              <w:t xml:space="preserve"> 3 </w:t>
            </w:r>
          </w:p>
        </w:tc>
        <w:tc>
          <w:tcPr>
            <w:tcW w:w="340" w:type="dxa"/>
            <w:tcBorders>
              <w:top w:val="nil"/>
              <w:left w:val="single" w:sz="2" w:space="0" w:color="000000"/>
              <w:bottom w:val="nil"/>
              <w:right w:val="dotted" w:sz="4" w:space="0" w:color="auto"/>
              <w:tl2br w:val="nil"/>
              <w:tr2bl w:val="nil"/>
            </w:tcBorders>
            <w:vAlign w:val="center"/>
          </w:tcPr>
          <w:p w:rsidR="001F3F26" w:rsidRPr="00A30410" w:rsidRDefault="001F3F26" w:rsidP="00D6056B">
            <w:pPr>
              <w:pStyle w:val="a"/>
              <w:wordWrap/>
              <w:spacing w:line="276" w:lineRule="auto"/>
              <w:rPr>
                <w:rFonts w:asciiTheme="minorHAnsi" w:hAnsiTheme="minorHAnsi" w:cs="Arial"/>
                <w:sz w:val="22"/>
                <w:szCs w:val="22"/>
              </w:rPr>
            </w:pPr>
          </w:p>
        </w:tc>
        <w:tc>
          <w:tcPr>
            <w:tcW w:w="6176" w:type="dxa"/>
            <w:gridSpan w:val="7"/>
            <w:tcBorders>
              <w:top w:val="dotted" w:sz="4" w:space="0" w:color="auto"/>
              <w:left w:val="dotted" w:sz="4" w:space="0" w:color="auto"/>
              <w:bottom w:val="dotted" w:sz="4" w:space="0" w:color="auto"/>
              <w:right w:val="dotted" w:sz="4" w:space="0" w:color="auto"/>
              <w:tl2br w:val="nil"/>
              <w:tr2bl w:val="nil"/>
            </w:tcBorders>
            <w:vAlign w:val="center"/>
          </w:tcPr>
          <w:p w:rsidR="001F3F26" w:rsidRPr="00A30410" w:rsidRDefault="001F3F26" w:rsidP="00D6056B">
            <w:pPr>
              <w:pStyle w:val="a"/>
              <w:wordWrap/>
              <w:spacing w:line="276" w:lineRule="auto"/>
              <w:jc w:val="center"/>
              <w:rPr>
                <w:rFonts w:asciiTheme="minorHAnsi" w:hAnsiTheme="minorHAnsi" w:cs="Arial"/>
                <w:sz w:val="22"/>
                <w:szCs w:val="22"/>
              </w:rPr>
            </w:pPr>
            <w:r w:rsidRPr="00A30410">
              <w:rPr>
                <w:rFonts w:asciiTheme="minorHAnsi" w:hAnsiTheme="minorHAnsi" w:cs="Arial"/>
                <w:sz w:val="22"/>
                <w:szCs w:val="22"/>
              </w:rPr>
              <w:t xml:space="preserve">Hưu trí tư nhân </w:t>
            </w:r>
          </w:p>
        </w:tc>
      </w:tr>
      <w:tr w:rsidR="001F3F26" w:rsidRPr="00A30410" w:rsidTr="00D6056B">
        <w:trPr>
          <w:trHeight w:val="22"/>
          <w:jc w:val="center"/>
        </w:trPr>
        <w:tc>
          <w:tcPr>
            <w:tcW w:w="1925" w:type="dxa"/>
            <w:tcBorders>
              <w:top w:val="nil"/>
              <w:left w:val="nil"/>
              <w:bottom w:val="single" w:sz="2" w:space="0" w:color="000000"/>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340" w:type="dxa"/>
            <w:tcBorders>
              <w:top w:val="nil"/>
              <w:left w:val="nil"/>
              <w:bottom w:val="nil"/>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1271" w:type="dxa"/>
            <w:tcBorders>
              <w:top w:val="dotted" w:sz="4" w:space="0" w:color="auto"/>
              <w:left w:val="nil"/>
              <w:bottom w:val="single" w:sz="2" w:space="0" w:color="000000"/>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372" w:type="dxa"/>
            <w:tcBorders>
              <w:top w:val="dotted" w:sz="4" w:space="0" w:color="auto"/>
              <w:left w:val="nil"/>
              <w:bottom w:val="dotted" w:sz="4" w:space="0" w:color="auto"/>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2357" w:type="dxa"/>
            <w:gridSpan w:val="2"/>
            <w:tcBorders>
              <w:top w:val="dotted" w:sz="4" w:space="0" w:color="auto"/>
              <w:left w:val="nil"/>
              <w:bottom w:val="dotted" w:sz="4" w:space="0" w:color="auto"/>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2176" w:type="dxa"/>
            <w:gridSpan w:val="3"/>
            <w:tcBorders>
              <w:top w:val="dotted" w:sz="4" w:space="0" w:color="auto"/>
              <w:left w:val="nil"/>
              <w:bottom w:val="nil"/>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r>
      <w:tr w:rsidR="001F3F26" w:rsidRPr="00A30410" w:rsidTr="00D6056B">
        <w:trPr>
          <w:trHeight w:val="369"/>
          <w:jc w:val="center"/>
        </w:trPr>
        <w:tc>
          <w:tcPr>
            <w:tcW w:w="1925" w:type="dxa"/>
            <w:tcBorders>
              <w:top w:val="single" w:sz="2" w:space="0" w:color="000000"/>
              <w:left w:val="single" w:sz="2" w:space="0" w:color="000000"/>
              <w:bottom w:val="single" w:sz="2" w:space="0" w:color="000000"/>
              <w:right w:val="single" w:sz="2" w:space="0" w:color="000000"/>
              <w:tl2br w:val="nil"/>
              <w:tr2bl w:val="nil"/>
            </w:tcBorders>
            <w:vAlign w:val="center"/>
          </w:tcPr>
          <w:p w:rsidR="001F3F26" w:rsidRPr="00A30410" w:rsidRDefault="001F3F26" w:rsidP="00D6056B">
            <w:pPr>
              <w:pStyle w:val="a"/>
              <w:wordWrap/>
              <w:spacing w:line="276" w:lineRule="auto"/>
              <w:jc w:val="center"/>
              <w:rPr>
                <w:rFonts w:asciiTheme="minorHAnsi" w:hAnsiTheme="minorHAnsi" w:cs="Arial"/>
                <w:sz w:val="22"/>
                <w:szCs w:val="22"/>
              </w:rPr>
            </w:pPr>
            <w:r>
              <w:rPr>
                <w:rFonts w:asciiTheme="minorHAnsi" w:eastAsia="HCI Tulip" w:hAnsiTheme="minorHAnsi" w:cs="Arial"/>
                <w:sz w:val="22"/>
                <w:szCs w:val="22"/>
              </w:rPr>
              <w:t>Trụ cột</w:t>
            </w:r>
            <w:r w:rsidRPr="00A30410">
              <w:rPr>
                <w:rFonts w:asciiTheme="minorHAnsi" w:eastAsia="HCI Tulip" w:hAnsiTheme="minorHAnsi" w:cs="Arial"/>
                <w:sz w:val="22"/>
                <w:szCs w:val="22"/>
              </w:rPr>
              <w:t xml:space="preserve"> 2</w:t>
            </w:r>
          </w:p>
        </w:tc>
        <w:tc>
          <w:tcPr>
            <w:tcW w:w="340" w:type="dxa"/>
            <w:tcBorders>
              <w:top w:val="nil"/>
              <w:left w:val="single" w:sz="2" w:space="0" w:color="000000"/>
              <w:bottom w:val="nil"/>
              <w:right w:val="single" w:sz="2" w:space="0" w:color="000000"/>
              <w:tl2br w:val="nil"/>
              <w:tr2bl w:val="nil"/>
            </w:tcBorders>
            <w:vAlign w:val="center"/>
          </w:tcPr>
          <w:p w:rsidR="001F3F26" w:rsidRPr="00A30410" w:rsidRDefault="001F3F26" w:rsidP="00D6056B">
            <w:pPr>
              <w:pStyle w:val="a"/>
              <w:wordWrap/>
              <w:spacing w:line="276" w:lineRule="auto"/>
              <w:rPr>
                <w:rFonts w:asciiTheme="minorHAnsi" w:hAnsiTheme="minorHAnsi" w:cs="Arial"/>
                <w:sz w:val="22"/>
                <w:szCs w:val="22"/>
              </w:rPr>
            </w:pPr>
          </w:p>
        </w:tc>
        <w:tc>
          <w:tcPr>
            <w:tcW w:w="1271" w:type="dxa"/>
            <w:vMerge w:val="restart"/>
            <w:tcBorders>
              <w:top w:val="single" w:sz="2" w:space="0" w:color="000000"/>
              <w:left w:val="single" w:sz="2" w:space="0" w:color="000000"/>
              <w:right w:val="single" w:sz="4" w:space="0" w:color="auto"/>
              <w:tl2br w:val="nil"/>
              <w:tr2bl w:val="nil"/>
            </w:tcBorders>
            <w:shd w:val="clear" w:color="auto" w:fill="auto"/>
            <w:vAlign w:val="center"/>
          </w:tcPr>
          <w:p w:rsidR="001F3F26" w:rsidRPr="00A30410" w:rsidRDefault="001F3F26" w:rsidP="00D6056B">
            <w:pPr>
              <w:pStyle w:val="a"/>
              <w:wordWrap/>
              <w:spacing w:line="276" w:lineRule="auto"/>
              <w:jc w:val="center"/>
              <w:rPr>
                <w:rFonts w:asciiTheme="minorHAnsi" w:hAnsiTheme="minorHAnsi" w:cs="Arial"/>
                <w:sz w:val="22"/>
                <w:szCs w:val="22"/>
                <w:lang w:eastAsia="ko-KR"/>
              </w:rPr>
            </w:pPr>
            <w:r w:rsidRPr="00A30410">
              <w:rPr>
                <w:rFonts w:asciiTheme="minorHAnsi" w:hAnsiTheme="minorHAnsi" w:cs="Arial"/>
                <w:szCs w:val="22"/>
                <w:lang w:eastAsia="ko-KR"/>
              </w:rPr>
              <w:t xml:space="preserve">Hưu trí nghề nghiệp trong khu vực công / khối quân sự </w:t>
            </w:r>
          </w:p>
        </w:tc>
        <w:tc>
          <w:tcPr>
            <w:tcW w:w="2976" w:type="dxa"/>
            <w:gridSpan w:val="4"/>
            <w:tcBorders>
              <w:top w:val="dotted" w:sz="4" w:space="0" w:color="auto"/>
              <w:left w:val="single" w:sz="2" w:space="0" w:color="000000"/>
              <w:bottom w:val="dotted" w:sz="4" w:space="0" w:color="auto"/>
              <w:right w:val="dotted" w:sz="4" w:space="0" w:color="auto"/>
              <w:tl2br w:val="nil"/>
              <w:tr2bl w:val="nil"/>
            </w:tcBorders>
            <w:vAlign w:val="center"/>
          </w:tcPr>
          <w:p w:rsidR="001F3F26" w:rsidRPr="00A30410" w:rsidRDefault="001F3F26" w:rsidP="00D6056B">
            <w:pPr>
              <w:pStyle w:val="a"/>
              <w:wordWrap/>
              <w:spacing w:line="276" w:lineRule="auto"/>
              <w:jc w:val="center"/>
              <w:rPr>
                <w:rFonts w:asciiTheme="minorHAnsi" w:eastAsia="Malgun Gothic" w:hAnsiTheme="minorHAnsi" w:cs="Arial"/>
                <w:sz w:val="22"/>
                <w:szCs w:val="22"/>
                <w:lang w:eastAsia="ko-KR"/>
              </w:rPr>
            </w:pPr>
            <w:r w:rsidRPr="00A30410">
              <w:rPr>
                <w:rFonts w:asciiTheme="minorHAnsi" w:hAnsiTheme="minorHAnsi" w:cs="Arial"/>
                <w:sz w:val="22"/>
                <w:szCs w:val="22"/>
                <w:lang w:eastAsia="ko-KR"/>
              </w:rPr>
              <w:t>Lương hưu</w:t>
            </w:r>
          </w:p>
        </w:tc>
        <w:tc>
          <w:tcPr>
            <w:tcW w:w="1929" w:type="dxa"/>
            <w:gridSpan w:val="2"/>
            <w:tcBorders>
              <w:top w:val="nil"/>
              <w:left w:val="dotted" w:sz="4" w:space="0" w:color="auto"/>
              <w:bottom w:val="nil"/>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z w:val="22"/>
                <w:szCs w:val="22"/>
                <w:lang w:eastAsia="ko-KR"/>
              </w:rPr>
            </w:pPr>
          </w:p>
        </w:tc>
      </w:tr>
      <w:tr w:rsidR="001F3F26" w:rsidRPr="00A30410" w:rsidTr="00D6056B">
        <w:trPr>
          <w:trHeight w:val="156"/>
          <w:jc w:val="center"/>
        </w:trPr>
        <w:tc>
          <w:tcPr>
            <w:tcW w:w="1925" w:type="dxa"/>
            <w:tcBorders>
              <w:top w:val="single" w:sz="2" w:space="0" w:color="000000"/>
              <w:left w:val="nil"/>
              <w:bottom w:val="single" w:sz="4" w:space="0" w:color="auto"/>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340" w:type="dxa"/>
            <w:tcBorders>
              <w:top w:val="nil"/>
              <w:left w:val="nil"/>
              <w:bottom w:val="nil"/>
              <w:right w:val="single" w:sz="2" w:space="0" w:color="000000"/>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1271" w:type="dxa"/>
            <w:vMerge/>
            <w:tcBorders>
              <w:left w:val="single" w:sz="2" w:space="0" w:color="000000"/>
              <w:right w:val="single" w:sz="4" w:space="0" w:color="auto"/>
              <w:tl2br w:val="nil"/>
              <w:tr2bl w:val="nil"/>
            </w:tcBorders>
            <w:shd w:val="clear" w:color="auto" w:fill="auto"/>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372" w:type="dxa"/>
            <w:tcBorders>
              <w:top w:val="dotted" w:sz="4" w:space="0" w:color="auto"/>
              <w:left w:val="single" w:sz="4" w:space="0" w:color="auto"/>
              <w:bottom w:val="single" w:sz="4" w:space="0" w:color="auto"/>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793" w:type="dxa"/>
            <w:tcBorders>
              <w:top w:val="dotted" w:sz="4" w:space="0" w:color="auto"/>
              <w:left w:val="nil"/>
              <w:bottom w:val="single" w:sz="4" w:space="0" w:color="auto"/>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1811" w:type="dxa"/>
            <w:gridSpan w:val="2"/>
            <w:tcBorders>
              <w:top w:val="dotted" w:sz="4" w:space="0" w:color="auto"/>
              <w:left w:val="nil"/>
              <w:bottom w:val="single" w:sz="4" w:space="0" w:color="auto"/>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1929" w:type="dxa"/>
            <w:gridSpan w:val="2"/>
            <w:tcBorders>
              <w:top w:val="nil"/>
              <w:left w:val="nil"/>
              <w:bottom w:val="nil"/>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r>
      <w:tr w:rsidR="001F3F26" w:rsidRPr="00A30410" w:rsidTr="00D6056B">
        <w:trPr>
          <w:trHeight w:val="572"/>
          <w:jc w:val="center"/>
        </w:trPr>
        <w:tc>
          <w:tcPr>
            <w:tcW w:w="1925" w:type="dxa"/>
            <w:tcBorders>
              <w:top w:val="single" w:sz="4" w:space="0" w:color="auto"/>
              <w:left w:val="single" w:sz="4" w:space="0" w:color="auto"/>
              <w:right w:val="single" w:sz="4" w:space="0" w:color="auto"/>
              <w:tl2br w:val="nil"/>
              <w:tr2bl w:val="nil"/>
            </w:tcBorders>
            <w:shd w:val="clear" w:color="auto" w:fill="auto"/>
            <w:vAlign w:val="center"/>
          </w:tcPr>
          <w:p w:rsidR="001F3F26" w:rsidRPr="00A30410" w:rsidRDefault="001F3F26" w:rsidP="00D6056B">
            <w:pPr>
              <w:pStyle w:val="a"/>
              <w:wordWrap/>
              <w:spacing w:line="276" w:lineRule="auto"/>
              <w:jc w:val="center"/>
              <w:rPr>
                <w:rFonts w:asciiTheme="minorHAnsi" w:hAnsiTheme="minorHAnsi" w:cs="Arial"/>
                <w:sz w:val="22"/>
                <w:szCs w:val="22"/>
              </w:rPr>
            </w:pPr>
            <w:r>
              <w:rPr>
                <w:rFonts w:asciiTheme="minorHAnsi" w:eastAsia="HCI Tulip" w:hAnsiTheme="minorHAnsi" w:cs="Arial"/>
                <w:sz w:val="22"/>
                <w:szCs w:val="22"/>
              </w:rPr>
              <w:t>Trụ cột</w:t>
            </w:r>
            <w:r w:rsidRPr="00A30410">
              <w:rPr>
                <w:rFonts w:asciiTheme="minorHAnsi" w:eastAsia="HCI Tulip" w:hAnsiTheme="minorHAnsi" w:cs="Arial"/>
                <w:sz w:val="22"/>
                <w:szCs w:val="22"/>
              </w:rPr>
              <w:t xml:space="preserve"> 1</w:t>
            </w:r>
          </w:p>
        </w:tc>
        <w:tc>
          <w:tcPr>
            <w:tcW w:w="340" w:type="dxa"/>
            <w:tcBorders>
              <w:top w:val="nil"/>
              <w:left w:val="single" w:sz="4" w:space="0" w:color="auto"/>
              <w:right w:val="single" w:sz="2" w:space="0" w:color="000000"/>
              <w:tl2br w:val="nil"/>
              <w:tr2bl w:val="nil"/>
            </w:tcBorders>
            <w:vAlign w:val="center"/>
          </w:tcPr>
          <w:p w:rsidR="001F3F26" w:rsidRPr="00A30410" w:rsidRDefault="001F3F26" w:rsidP="00D6056B">
            <w:pPr>
              <w:pStyle w:val="a"/>
              <w:wordWrap/>
              <w:spacing w:line="276" w:lineRule="auto"/>
              <w:rPr>
                <w:rFonts w:asciiTheme="minorHAnsi" w:hAnsiTheme="minorHAnsi" w:cs="Arial"/>
                <w:sz w:val="22"/>
                <w:szCs w:val="22"/>
              </w:rPr>
            </w:pPr>
          </w:p>
        </w:tc>
        <w:tc>
          <w:tcPr>
            <w:tcW w:w="1271" w:type="dxa"/>
            <w:vMerge/>
            <w:tcBorders>
              <w:left w:val="single" w:sz="2" w:space="0" w:color="000000"/>
              <w:bottom w:val="single" w:sz="4" w:space="0" w:color="auto"/>
              <w:right w:val="single" w:sz="4" w:space="0" w:color="auto"/>
              <w:tl2br w:val="nil"/>
              <w:tr2bl w:val="nil"/>
            </w:tcBorders>
            <w:shd w:val="clear" w:color="auto" w:fill="auto"/>
            <w:vAlign w:val="center"/>
          </w:tcPr>
          <w:p w:rsidR="001F3F26" w:rsidRPr="00A30410" w:rsidRDefault="001F3F26" w:rsidP="00D6056B">
            <w:pPr>
              <w:pStyle w:val="a"/>
              <w:wordWrap/>
              <w:spacing w:line="276" w:lineRule="auto"/>
              <w:rPr>
                <w:rFonts w:asciiTheme="minorHAnsi" w:eastAsia="HCI Tulip" w:hAnsiTheme="minorHAnsi" w:cs="Arial"/>
                <w:sz w:val="22"/>
                <w:szCs w:val="22"/>
              </w:rPr>
            </w:pPr>
          </w:p>
        </w:tc>
        <w:tc>
          <w:tcPr>
            <w:tcW w:w="4005" w:type="dxa"/>
            <w:gridSpan w:val="5"/>
            <w:tcBorders>
              <w:top w:val="single" w:sz="4" w:space="0" w:color="auto"/>
              <w:left w:val="single" w:sz="4" w:space="0" w:color="auto"/>
              <w:bottom w:val="single" w:sz="4" w:space="0" w:color="auto"/>
              <w:right w:val="single" w:sz="4" w:space="0" w:color="auto"/>
              <w:tl2br w:val="nil"/>
              <w:tr2bl w:val="nil"/>
            </w:tcBorders>
            <w:shd w:val="clear" w:color="auto" w:fill="D9D9D9" w:themeFill="background1" w:themeFillShade="D9"/>
            <w:vAlign w:val="center"/>
          </w:tcPr>
          <w:p w:rsidR="001F3F26" w:rsidRPr="00A30410" w:rsidRDefault="001F3F26" w:rsidP="00D6056B">
            <w:pPr>
              <w:pStyle w:val="a"/>
              <w:wordWrap/>
              <w:spacing w:line="276" w:lineRule="auto"/>
              <w:jc w:val="center"/>
              <w:rPr>
                <w:rFonts w:asciiTheme="minorHAnsi" w:eastAsia="Malgun Gothic" w:hAnsiTheme="minorHAnsi" w:cs="Arial"/>
                <w:sz w:val="22"/>
                <w:szCs w:val="22"/>
                <w:lang w:eastAsia="ko-KR"/>
              </w:rPr>
            </w:pPr>
            <w:r>
              <w:rPr>
                <w:rFonts w:asciiTheme="minorHAnsi" w:eastAsia="Malgun Gothic" w:hAnsiTheme="minorHAnsi" w:cs="Arial"/>
                <w:sz w:val="22"/>
                <w:szCs w:val="22"/>
                <w:lang w:eastAsia="ko-KR"/>
              </w:rPr>
              <w:t>Quỹ</w:t>
            </w:r>
            <w:r w:rsidRPr="00A30410">
              <w:rPr>
                <w:rFonts w:asciiTheme="minorHAnsi" w:eastAsia="Malgun Gothic" w:hAnsiTheme="minorHAnsi" w:cs="Arial"/>
                <w:sz w:val="22"/>
                <w:szCs w:val="22"/>
                <w:lang w:eastAsia="ko-KR"/>
              </w:rPr>
              <w:t xml:space="preserve"> hưu trí quốc gia</w:t>
            </w:r>
          </w:p>
        </w:tc>
        <w:tc>
          <w:tcPr>
            <w:tcW w:w="900" w:type="dxa"/>
            <w:tcBorders>
              <w:top w:val="nil"/>
              <w:left w:val="single" w:sz="4" w:space="0" w:color="auto"/>
              <w:bottom w:val="nil"/>
              <w:right w:val="nil"/>
              <w:tl2br w:val="nil"/>
              <w:tr2bl w:val="nil"/>
            </w:tcBorders>
            <w:shd w:val="clear" w:color="auto" w:fill="auto"/>
            <w:vAlign w:val="center"/>
          </w:tcPr>
          <w:p w:rsidR="001F3F26" w:rsidRPr="00A30410" w:rsidRDefault="001F3F26" w:rsidP="00D6056B">
            <w:pPr>
              <w:pStyle w:val="a"/>
              <w:wordWrap/>
              <w:spacing w:line="276" w:lineRule="auto"/>
              <w:rPr>
                <w:rFonts w:asciiTheme="minorHAnsi" w:eastAsia="HCI Tulip" w:hAnsiTheme="minorHAnsi" w:cs="Arial"/>
                <w:sz w:val="22"/>
                <w:szCs w:val="22"/>
              </w:rPr>
            </w:pPr>
          </w:p>
        </w:tc>
      </w:tr>
      <w:tr w:rsidR="001F3F26" w:rsidRPr="00A30410" w:rsidTr="00D6056B">
        <w:trPr>
          <w:trHeight w:val="233"/>
          <w:jc w:val="center"/>
        </w:trPr>
        <w:tc>
          <w:tcPr>
            <w:tcW w:w="1925" w:type="dxa"/>
            <w:tcBorders>
              <w:top w:val="single" w:sz="4" w:space="0" w:color="auto"/>
              <w:left w:val="nil"/>
              <w:bottom w:val="single" w:sz="4" w:space="0" w:color="auto"/>
              <w:right w:val="nil"/>
              <w:tl2br w:val="nil"/>
              <w:tr2bl w:val="nil"/>
            </w:tcBorders>
            <w:shd w:val="clear" w:color="auto" w:fill="auto"/>
            <w:vAlign w:val="center"/>
          </w:tcPr>
          <w:p w:rsidR="001F3F26" w:rsidRPr="00A30410" w:rsidRDefault="001F3F26" w:rsidP="00D6056B">
            <w:pPr>
              <w:pStyle w:val="a"/>
              <w:wordWrap/>
              <w:spacing w:line="276" w:lineRule="auto"/>
              <w:rPr>
                <w:rFonts w:asciiTheme="minorHAnsi" w:hAnsiTheme="minorHAnsi" w:cs="Arial"/>
                <w:sz w:val="10"/>
                <w:szCs w:val="10"/>
                <w:vertAlign w:val="superscript"/>
                <w:lang w:eastAsia="ko-KR"/>
              </w:rPr>
            </w:pPr>
          </w:p>
        </w:tc>
        <w:tc>
          <w:tcPr>
            <w:tcW w:w="340" w:type="dxa"/>
            <w:tcBorders>
              <w:top w:val="nil"/>
              <w:left w:val="nil"/>
              <w:bottom w:val="nil"/>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z w:val="10"/>
                <w:szCs w:val="10"/>
              </w:rPr>
            </w:pPr>
          </w:p>
        </w:tc>
        <w:tc>
          <w:tcPr>
            <w:tcW w:w="5276" w:type="dxa"/>
            <w:gridSpan w:val="6"/>
            <w:tcBorders>
              <w:top w:val="single" w:sz="4" w:space="0" w:color="auto"/>
              <w:left w:val="nil"/>
              <w:bottom w:val="nil"/>
              <w:right w:val="nil"/>
              <w:tl2br w:val="nil"/>
              <w:tr2bl w:val="nil"/>
            </w:tcBorders>
            <w:shd w:val="clear" w:color="auto" w:fill="auto"/>
            <w:vAlign w:val="center"/>
          </w:tcPr>
          <w:p w:rsidR="001F3F26" w:rsidRPr="00A30410" w:rsidRDefault="001F3F26" w:rsidP="00D6056B">
            <w:pPr>
              <w:pStyle w:val="a"/>
              <w:wordWrap/>
              <w:spacing w:line="276" w:lineRule="auto"/>
              <w:rPr>
                <w:rFonts w:asciiTheme="minorHAnsi" w:eastAsia="Malgun Gothic" w:hAnsiTheme="minorHAnsi" w:cs="Arial"/>
                <w:sz w:val="10"/>
                <w:szCs w:val="10"/>
                <w:lang w:eastAsia="ko-KR"/>
              </w:rPr>
            </w:pPr>
          </w:p>
        </w:tc>
        <w:tc>
          <w:tcPr>
            <w:tcW w:w="900" w:type="dxa"/>
            <w:tcBorders>
              <w:top w:val="nil"/>
              <w:left w:val="nil"/>
              <w:bottom w:val="nil"/>
              <w:right w:val="nil"/>
              <w:tl2br w:val="nil"/>
              <w:tr2bl w:val="nil"/>
            </w:tcBorders>
            <w:shd w:val="clear" w:color="auto" w:fill="auto"/>
            <w:vAlign w:val="center"/>
          </w:tcPr>
          <w:p w:rsidR="001F3F26" w:rsidRPr="00A30410" w:rsidRDefault="001F3F26" w:rsidP="00D6056B">
            <w:pPr>
              <w:pStyle w:val="a"/>
              <w:wordWrap/>
              <w:spacing w:line="276" w:lineRule="auto"/>
              <w:rPr>
                <w:rFonts w:asciiTheme="minorHAnsi" w:eastAsia="Malgun Gothic" w:hAnsiTheme="minorHAnsi" w:cs="Arial"/>
                <w:sz w:val="10"/>
                <w:szCs w:val="10"/>
                <w:lang w:eastAsia="ko-KR"/>
              </w:rPr>
            </w:pPr>
          </w:p>
        </w:tc>
      </w:tr>
      <w:tr w:rsidR="001F3F26" w:rsidRPr="00A30410" w:rsidTr="00D6056B">
        <w:trPr>
          <w:trHeight w:val="124"/>
          <w:jc w:val="center"/>
        </w:trPr>
        <w:tc>
          <w:tcPr>
            <w:tcW w:w="1925" w:type="dxa"/>
            <w:vMerge w:val="restart"/>
            <w:tcBorders>
              <w:top w:val="single" w:sz="4" w:space="0" w:color="auto"/>
              <w:left w:val="single" w:sz="4" w:space="0" w:color="auto"/>
              <w:right w:val="single" w:sz="4" w:space="0" w:color="auto"/>
              <w:tl2br w:val="nil"/>
              <w:tr2bl w:val="nil"/>
            </w:tcBorders>
            <w:shd w:val="clear" w:color="auto" w:fill="auto"/>
            <w:vAlign w:val="center"/>
          </w:tcPr>
          <w:p w:rsidR="001F3F26" w:rsidRPr="00A30410" w:rsidRDefault="001F3F26" w:rsidP="00D6056B">
            <w:pPr>
              <w:pStyle w:val="a"/>
              <w:wordWrap/>
              <w:spacing w:line="276" w:lineRule="auto"/>
              <w:jc w:val="center"/>
              <w:rPr>
                <w:rFonts w:asciiTheme="minorHAnsi" w:hAnsiTheme="minorHAnsi" w:cs="Arial"/>
                <w:sz w:val="22"/>
                <w:szCs w:val="22"/>
              </w:rPr>
            </w:pPr>
            <w:r>
              <w:rPr>
                <w:rFonts w:asciiTheme="minorHAnsi" w:eastAsia="HCI Tulip" w:hAnsiTheme="minorHAnsi" w:cs="Arial"/>
                <w:sz w:val="22"/>
                <w:szCs w:val="22"/>
              </w:rPr>
              <w:t>Trụ cột</w:t>
            </w:r>
            <w:r w:rsidRPr="00A30410">
              <w:rPr>
                <w:rFonts w:asciiTheme="minorHAnsi" w:eastAsia="HCI Tulip" w:hAnsiTheme="minorHAnsi" w:cs="Arial"/>
                <w:sz w:val="22"/>
                <w:szCs w:val="22"/>
              </w:rPr>
              <w:t xml:space="preserve"> </w:t>
            </w:r>
            <w:r w:rsidRPr="00A30410">
              <w:rPr>
                <w:rFonts w:asciiTheme="minorHAnsi" w:hAnsiTheme="minorHAnsi" w:cs="Arial"/>
                <w:sz w:val="22"/>
                <w:szCs w:val="22"/>
                <w:lang w:eastAsia="ko-KR"/>
              </w:rPr>
              <w:t>0</w:t>
            </w:r>
          </w:p>
        </w:tc>
        <w:tc>
          <w:tcPr>
            <w:tcW w:w="340" w:type="dxa"/>
            <w:vMerge w:val="restart"/>
            <w:tcBorders>
              <w:top w:val="nil"/>
              <w:left w:val="single" w:sz="4" w:space="0" w:color="auto"/>
              <w:right w:val="single" w:sz="4" w:space="0" w:color="auto"/>
              <w:tl2br w:val="nil"/>
              <w:tr2bl w:val="nil"/>
            </w:tcBorders>
            <w:vAlign w:val="center"/>
          </w:tcPr>
          <w:p w:rsidR="001F3F26" w:rsidRPr="00A30410" w:rsidRDefault="001F3F26" w:rsidP="00D6056B">
            <w:pPr>
              <w:pStyle w:val="a"/>
              <w:wordWrap/>
              <w:spacing w:line="276" w:lineRule="auto"/>
              <w:rPr>
                <w:rFonts w:asciiTheme="minorHAnsi" w:hAnsiTheme="minorHAnsi" w:cs="Arial"/>
                <w:sz w:val="22"/>
                <w:szCs w:val="22"/>
              </w:rPr>
            </w:pPr>
          </w:p>
        </w:tc>
        <w:tc>
          <w:tcPr>
            <w:tcW w:w="6176" w:type="dxa"/>
            <w:gridSpan w:val="7"/>
            <w:tcBorders>
              <w:top w:val="single" w:sz="4" w:space="0" w:color="auto"/>
              <w:left w:val="single" w:sz="4" w:space="0" w:color="auto"/>
              <w:bottom w:val="single" w:sz="4" w:space="0" w:color="auto"/>
              <w:right w:val="single" w:sz="4" w:space="0" w:color="auto"/>
              <w:tl2br w:val="nil"/>
              <w:tr2bl w:val="nil"/>
            </w:tcBorders>
            <w:shd w:val="clear" w:color="auto" w:fill="D9D9D9" w:themeFill="background1" w:themeFillShade="D9"/>
            <w:vAlign w:val="center"/>
          </w:tcPr>
          <w:p w:rsidR="001F3F26" w:rsidRPr="00A30410" w:rsidRDefault="001F3F26" w:rsidP="00D6056B">
            <w:pPr>
              <w:pStyle w:val="a"/>
              <w:wordWrap/>
              <w:spacing w:line="276" w:lineRule="auto"/>
              <w:jc w:val="center"/>
              <w:rPr>
                <w:rFonts w:asciiTheme="minorHAnsi" w:eastAsia="Malgun Gothic" w:hAnsiTheme="minorHAnsi" w:cs="Arial"/>
                <w:sz w:val="22"/>
                <w:szCs w:val="22"/>
                <w:lang w:eastAsia="ko-KR"/>
              </w:rPr>
            </w:pPr>
            <w:r w:rsidRPr="00A30410">
              <w:rPr>
                <w:rFonts w:asciiTheme="minorHAnsi" w:eastAsia="Malgun Gothic" w:hAnsiTheme="minorHAnsi" w:cs="Arial"/>
                <w:sz w:val="22"/>
                <w:szCs w:val="22"/>
                <w:lang w:eastAsia="ko-KR"/>
              </w:rPr>
              <w:t>Hưu trí cơ bản</w:t>
            </w:r>
          </w:p>
        </w:tc>
      </w:tr>
      <w:tr w:rsidR="001F3F26" w:rsidRPr="00A30410" w:rsidTr="00D6056B">
        <w:trPr>
          <w:trHeight w:val="124"/>
          <w:jc w:val="center"/>
        </w:trPr>
        <w:tc>
          <w:tcPr>
            <w:tcW w:w="1925" w:type="dxa"/>
            <w:vMerge/>
            <w:tcBorders>
              <w:left w:val="single" w:sz="4" w:space="0" w:color="auto"/>
              <w:bottom w:val="single" w:sz="4" w:space="0" w:color="auto"/>
              <w:right w:val="single" w:sz="4" w:space="0" w:color="auto"/>
              <w:tl2br w:val="nil"/>
              <w:tr2bl w:val="nil"/>
            </w:tcBorders>
            <w:shd w:val="clear" w:color="auto" w:fill="auto"/>
            <w:vAlign w:val="center"/>
          </w:tcPr>
          <w:p w:rsidR="001F3F26" w:rsidRPr="00A30410" w:rsidRDefault="001F3F26" w:rsidP="00D6056B">
            <w:pPr>
              <w:pStyle w:val="a"/>
              <w:wordWrap/>
              <w:spacing w:line="276" w:lineRule="auto"/>
              <w:rPr>
                <w:rFonts w:asciiTheme="minorHAnsi" w:hAnsiTheme="minorHAnsi" w:cs="Arial"/>
                <w:sz w:val="22"/>
                <w:szCs w:val="22"/>
                <w:lang w:eastAsia="ko-KR"/>
              </w:rPr>
            </w:pPr>
          </w:p>
        </w:tc>
        <w:tc>
          <w:tcPr>
            <w:tcW w:w="340" w:type="dxa"/>
            <w:vMerge/>
            <w:tcBorders>
              <w:left w:val="single" w:sz="4" w:space="0" w:color="auto"/>
              <w:bottom w:val="nil"/>
              <w:right w:val="single" w:sz="4" w:space="0" w:color="auto"/>
              <w:tl2br w:val="nil"/>
              <w:tr2bl w:val="nil"/>
            </w:tcBorders>
            <w:vAlign w:val="center"/>
          </w:tcPr>
          <w:p w:rsidR="001F3F26" w:rsidRPr="00A30410" w:rsidRDefault="001F3F26" w:rsidP="00D6056B">
            <w:pPr>
              <w:pStyle w:val="a"/>
              <w:wordWrap/>
              <w:spacing w:line="276" w:lineRule="auto"/>
              <w:rPr>
                <w:rFonts w:asciiTheme="minorHAnsi" w:hAnsiTheme="minorHAnsi" w:cs="Arial"/>
                <w:sz w:val="22"/>
                <w:szCs w:val="22"/>
              </w:rPr>
            </w:pPr>
          </w:p>
        </w:tc>
        <w:tc>
          <w:tcPr>
            <w:tcW w:w="6176" w:type="dxa"/>
            <w:gridSpan w:val="7"/>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1F3F26" w:rsidRPr="00A30410" w:rsidRDefault="001F3F26" w:rsidP="00D6056B">
            <w:pPr>
              <w:pStyle w:val="a"/>
              <w:wordWrap/>
              <w:spacing w:line="276" w:lineRule="auto"/>
              <w:jc w:val="center"/>
              <w:rPr>
                <w:rFonts w:asciiTheme="minorHAnsi" w:eastAsia="Malgun Gothic" w:hAnsiTheme="minorHAnsi" w:cs="Arial"/>
                <w:sz w:val="22"/>
                <w:szCs w:val="22"/>
                <w:lang w:eastAsia="ko-KR"/>
              </w:rPr>
            </w:pPr>
            <w:r w:rsidRPr="00A30410">
              <w:rPr>
                <w:rFonts w:asciiTheme="minorHAnsi" w:eastAsia="Malgun Gothic" w:hAnsiTheme="minorHAnsi" w:cs="Arial"/>
                <w:sz w:val="22"/>
                <w:szCs w:val="22"/>
                <w:lang w:eastAsia="ko-KR"/>
              </w:rPr>
              <w:t xml:space="preserve">Chương trình quốc gia về đảm bảo kế sinh nhai cơ bản </w:t>
            </w:r>
          </w:p>
        </w:tc>
      </w:tr>
      <w:tr w:rsidR="001F3F26" w:rsidRPr="00A30410" w:rsidTr="00D6056B">
        <w:trPr>
          <w:trHeight w:val="156"/>
          <w:jc w:val="center"/>
        </w:trPr>
        <w:tc>
          <w:tcPr>
            <w:tcW w:w="1925" w:type="dxa"/>
            <w:tcBorders>
              <w:top w:val="single" w:sz="4" w:space="0" w:color="auto"/>
              <w:left w:val="nil"/>
              <w:bottom w:val="single" w:sz="2" w:space="0" w:color="000000"/>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340" w:type="dxa"/>
            <w:tcBorders>
              <w:top w:val="nil"/>
              <w:left w:val="nil"/>
              <w:bottom w:val="nil"/>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4000" w:type="dxa"/>
            <w:gridSpan w:val="4"/>
            <w:tcBorders>
              <w:top w:val="single" w:sz="4" w:space="0" w:color="auto"/>
              <w:left w:val="nil"/>
              <w:bottom w:val="single" w:sz="2" w:space="0" w:color="000000"/>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c>
          <w:tcPr>
            <w:tcW w:w="2176" w:type="dxa"/>
            <w:gridSpan w:val="3"/>
            <w:tcBorders>
              <w:top w:val="single" w:sz="4" w:space="0" w:color="auto"/>
              <w:left w:val="nil"/>
              <w:bottom w:val="single" w:sz="2" w:space="0" w:color="000000"/>
              <w:right w:val="nil"/>
              <w:tl2br w:val="nil"/>
              <w:tr2bl w:val="nil"/>
            </w:tcBorders>
            <w:vAlign w:val="center"/>
          </w:tcPr>
          <w:p w:rsidR="001F3F26" w:rsidRPr="00A30410" w:rsidRDefault="001F3F26" w:rsidP="00D6056B">
            <w:pPr>
              <w:pStyle w:val="a"/>
              <w:wordWrap/>
              <w:spacing w:line="276" w:lineRule="auto"/>
              <w:rPr>
                <w:rFonts w:asciiTheme="minorHAnsi" w:hAnsiTheme="minorHAnsi" w:cs="Arial"/>
                <w:spacing w:val="-2"/>
                <w:sz w:val="10"/>
                <w:szCs w:val="10"/>
              </w:rPr>
            </w:pPr>
          </w:p>
        </w:tc>
      </w:tr>
    </w:tbl>
    <w:p w:rsidR="001F3F26" w:rsidRPr="00270555" w:rsidRDefault="001F3F26" w:rsidP="001F3F26">
      <w:pPr>
        <w:jc w:val="both"/>
        <w:rPr>
          <w:highlight w:val="yellow"/>
          <w:lang w:val="en-GB"/>
        </w:rPr>
      </w:pPr>
    </w:p>
    <w:p w:rsidR="001F3F26" w:rsidRPr="001F3F26" w:rsidRDefault="001F3F26"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lang w:val="en-GB"/>
        </w:rPr>
        <w:t xml:space="preserve">Như đã đề cập, hệ thống hưu trí người cao tuổi hiện tại của Trung Quốc bao gồm ba chế độ trợ cấp đó là: </w:t>
      </w:r>
      <w:r w:rsidR="00B465BB">
        <w:rPr>
          <w:rFonts w:ascii="Times New Roman" w:hAnsi="Times New Roman" w:cs="Times New Roman"/>
          <w:sz w:val="28"/>
          <w:lang w:val="en-GB"/>
        </w:rPr>
        <w:t xml:space="preserve">(i) </w:t>
      </w:r>
      <w:r w:rsidRPr="001F3F26">
        <w:rPr>
          <w:rFonts w:ascii="Times New Roman" w:hAnsi="Times New Roman" w:cs="Times New Roman"/>
          <w:sz w:val="28"/>
          <w:lang w:val="en-GB"/>
        </w:rPr>
        <w:t xml:space="preserve">chế độ hưu trí cho người lao động thành thị, </w:t>
      </w:r>
      <w:r w:rsidR="00B465BB">
        <w:rPr>
          <w:rFonts w:ascii="Times New Roman" w:hAnsi="Times New Roman" w:cs="Times New Roman"/>
          <w:sz w:val="28"/>
          <w:lang w:val="en-GB"/>
        </w:rPr>
        <w:t xml:space="preserve">(ii) </w:t>
      </w:r>
      <w:r w:rsidRPr="001F3F26">
        <w:rPr>
          <w:rFonts w:ascii="Times New Roman" w:hAnsi="Times New Roman" w:cs="Times New Roman"/>
          <w:sz w:val="28"/>
          <w:lang w:val="en-GB"/>
        </w:rPr>
        <w:t xml:space="preserve">chế độ hưu trí cho người dân nông thôn và thành thị và </w:t>
      </w:r>
      <w:r w:rsidR="00B465BB">
        <w:rPr>
          <w:rFonts w:ascii="Times New Roman" w:hAnsi="Times New Roman" w:cs="Times New Roman"/>
          <w:sz w:val="28"/>
          <w:lang w:val="en-GB"/>
        </w:rPr>
        <w:t xml:space="preserve">(iii) </w:t>
      </w:r>
      <w:r w:rsidRPr="001F3F26">
        <w:rPr>
          <w:rFonts w:ascii="Times New Roman" w:hAnsi="Times New Roman" w:cs="Times New Roman"/>
          <w:sz w:val="28"/>
          <w:lang w:val="en-GB"/>
        </w:rPr>
        <w:t xml:space="preserve">chế độ hưu trí dành cho công chức và lao động trong chính phủ. </w:t>
      </w:r>
      <w:r w:rsidRPr="001F3F26">
        <w:rPr>
          <w:rFonts w:ascii="Times New Roman" w:hAnsi="Times New Roman" w:cs="Times New Roman"/>
          <w:sz w:val="28"/>
        </w:rPr>
        <w:t xml:space="preserve">Sau khi nghỉ hưu, người lao động được bảo hiểm theo quy định của chế độ hưu trí cho người lao động thành thị sẽ được nhận một khoản lương hưu do nhà nước cấp gồm có hai phần: một khoản </w:t>
      </w:r>
      <w:r w:rsidRPr="001F3F26">
        <w:rPr>
          <w:rFonts w:ascii="Times New Roman" w:hAnsi="Times New Roman" w:cs="Times New Roman"/>
          <w:sz w:val="28"/>
        </w:rPr>
        <w:lastRenderedPageBreak/>
        <w:t xml:space="preserve">liên hợp do người sử dụng lao động đóng góp (chiếm khoảng 20% trong bảng lương) và một khoản lương hưu cá nhân được tính toán dựa trên khoản đóng góp tích luỹ của người lao động, khoản đóng góp này chiếm 8% thu nhập tham chiếu của người lao động. Khoản hưu trí liên hợp được lập nên dưới dạng chế độ trợ cấp với mức hưởng xác định kết hợp với khoản lương xã hội của các tỉnh địa phương. Khoản hưu trí cá nhân thực hiện theo quy định của </w:t>
      </w:r>
      <w:r w:rsidRPr="001F3F26">
        <w:rPr>
          <w:rFonts w:ascii="Times New Roman" w:hAnsi="Times New Roman" w:cs="Times New Roman"/>
          <w:sz w:val="28"/>
          <w:lang w:val="en-GB"/>
        </w:rPr>
        <w:t>quỹ</w:t>
      </w:r>
      <w:r w:rsidRPr="001F3F26">
        <w:rPr>
          <w:rFonts w:ascii="Times New Roman" w:hAnsi="Times New Roman" w:cs="Times New Roman"/>
          <w:sz w:val="28"/>
        </w:rPr>
        <w:t xml:space="preserve"> DC được thanh toán hàng năm dựa trên khoản tích luỹ cộng với lãi suất trong tài khoản cá nhân. Dù được thiết kế riêng biệt như vậy nhưng khoản tiền tích luỹ trong tài khoản cá nhân đôi khi được sử dụng để giải quyết thâm hụt trong khoản hưu trí liên hợp. </w:t>
      </w:r>
    </w:p>
    <w:p w:rsidR="001F3F26" w:rsidRPr="001F3F26" w:rsidRDefault="001F3F26"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lang w:val="en-GB"/>
        </w:rPr>
        <w:t>Tính đến</w:t>
      </w:r>
      <w:r w:rsidRPr="001F3F26">
        <w:rPr>
          <w:rFonts w:ascii="Times New Roman" w:hAnsi="Times New Roman" w:cs="Times New Roman"/>
          <w:sz w:val="28"/>
        </w:rPr>
        <w:t xml:space="preserve"> tháng 10 năm 2014, các công chức nghỉ hưu đã nhận được một khoản hưu trí của nhà nước được tính toán dựa trên mức lương của họ thời điểm trước khi nghỉ hưu và số năm công tác. Khoản hưu trí này được </w:t>
      </w:r>
      <w:r w:rsidRPr="001F3F26">
        <w:rPr>
          <w:rFonts w:ascii="Times New Roman" w:hAnsi="Times New Roman" w:cs="Times New Roman"/>
          <w:sz w:val="28"/>
          <w:lang w:val="en-GB"/>
        </w:rPr>
        <w:t>chi trả</w:t>
      </w:r>
      <w:r w:rsidRPr="001F3F26">
        <w:rPr>
          <w:rFonts w:ascii="Times New Roman" w:hAnsi="Times New Roman" w:cs="Times New Roman"/>
          <w:sz w:val="28"/>
        </w:rPr>
        <w:t xml:space="preserve"> trực tiếp từ ngân sách của các đơn vị trong chính phủ. Chế độ này hiện đang được chuyển đổi thành chế độ hưu trí bảo hiểm xã hội với hai thành tố tương tự như chế độ hưu trí áp dụng cho người lao động thành thị đó là: một khoản liên hợp dựa trên đóng góp của người sử dụng lao động và một khoản hưu trí cá nhân dựa trên đóng góp của người lao động. </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In-đô-nê-xi-a là một ví dụ khác về một quốc gia đã kết hợp chương trình hưu trí thẩm tra thu nhập thực hiện bằng ngân sách thuế (với phạm vi bao phủ rất hạn chế); với quỹ trợ cấp xác định và quỹ dự phòng bắt buộc. Các quốc gia khác chỉ sử dụng các quỹ DC làm nền tảng cho cấp độ thứ hai trong hệ thống hưu trí của mình bao gồm Bru-nây Đa-rút-xa-lam, Ma-lai-xi-a và Xinh-ga-po, chủ yếu dưới dạng các quỹ dự phòng được khu vực công quản lý. Chỉ có hai nước không có hệ thống hưu trí công bắt buộc toàn dân (Cam-pu-chia và Mi-an-ma). Tính đến nay, hai quốc gia này chỉ có chế độ hưu trí cho công chức.</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Hệ thống của Ma-lai-xi-a bao gồm một quỹ hưu trí DC và quỹ hưu trí xã hội thẩm tra thu nhập. Quỹ dự phòng người lao động (EPF), được giới thiệu vào năm 1951, là một quỹ DC trên cơ sở các tài khoản tiết kiệm cá nhân. Chương trình Bantuan Prang Tua là một chương trình hưu trí xã hội thẩm tra thu nhập. Quỹ EPF có phạm vi bao phủ chủ yếu tới người lao động trong lĩnh vực tư nhân. Những người lao động trong ngành nghề chính thức có thể lựa chọn đóng bảo hiểm theo một chế độ trợ cấp tự nguyện khác biệt (SP1M). Các khoản đóng góp vào chế độ trợ cấp này được chính phủ trợ cấp một phần tuy nhiên phạm vị bao phủ lại khá nhỏ hẹp. Phạm vi bao phủ hưu trí xã hội bắt đầu với một số lượng hạn chế người được hưởng lợi và gần đây đã được mở rộng nhưng mức độ bao phủ vẫn dừng lại ở 6% người cao tuổi vào năm 2012. </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lastRenderedPageBreak/>
        <w:t>Do EPF vận hành theo cơ chế của một quỹ DC, nguồn tài chính chủ yếu đến từ các khoản đóng góp của người được bảo hiểm, người sử dụng lao động và tỷ suất sinh lời. Mỗi cá nhân đóng bảo hiểm có một tài khoản riêng chứa khoản tiết kiệm và khoản sinh lời được tích luỹ của mình. Tỷ lệ đóng góp đã tăng lên với khởi điểm là 10% vào năm 1952 và lên tới 24% trong số người lao động có thu nhập trên 5.000 Nhân dân tệ và 23% với các nhóm dân số khác. Việc quản lý EPF thuộc trách nhiệm của Bộ Tài chính. Bộ Phụ nữ, Gia đình và Phát triển Cộng đồng chịu trách nhiệm quản lý chương trình hưu trí xã hội.</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Hiện nay các thành viên đóng bảo hiểm có hai tài khoản khác nhau mà họ có thể rút tiền với những lý do riêng biệt. Các thành viên có thể rút tiền từ Tài khoản một - tương ứng với 70% tiền tiết kiệm của cá nhân - khi họ 55 tuổi. Họ cũng có thể rút tiền từ Tài khoản hai – chứa 30% tổng tiền tiết kiệm – tại bất kỳ thời điểm nào trước khi họ nghỉ hưu để đầu tư vào nhà cửa, giáo dục và y tế. Độ tuổi nghỉ hưu được quy định là 60 tuổi, nhưng các thành viên có thể rút toàn bộ số tiền của mình vào năm 55 tuổi. Họ có thể lựa chọn rút tiền định kỳ hàng tháng nhưng hơn 99% thành viên lựa chọn giải pháp rút một lần.</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Mặc dù tỷ lệ đóng góp cao, nhưng dữ liệu năm 2014 cho thấy 50% thành viên EPF rút tiền tiết kiệm trong vòng 5 năm khi họ đến tuổi 55. Một phần nguyên nhân là do khoản tiết kiệm tích luỹ được ở mức cực kỳ thấp và họ được phép rút một phần tiền tiết kiệm trước khi đến tuổi nghỉ hưu để phục vụ các lý do liệt kê ở trên. 68% thành viên ở tuổi 54 có khoản tiền tiết kiệm thấp hơn 50.000 Nhân dân tệ. EPF ước tính rằng ngay cả trong trường hợp các thành viên chỉ chi dùng 820 Nhân dân tệ một tháng (một khoản gần với mức nghèo đói) thì khoản tiền 50.000 Nhân dân tệ cũng chỉ có thể kéo dài trong vòng 5 năm. Thực tế này cũng là kết quả của việc thiếu vắng quy định bắt buộc về việc rút tiền định kỳ hàng năm thay vì rút tiền một lần. </w:t>
      </w:r>
    </w:p>
    <w:p w:rsid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Chính vì thế mà EPF đã giới thiệu khái niệm Khoản tiết kiệm cơ bản vào năm 2008, yêu cầu người được bảo hiểm phải giữ một khoản tiền tiết kiệm tối thiểu trong tài khoản của mình đối với các mức tuổi khác nhau cho tới khi người đó 55 tuổi. Ở độ tuổi 55, số dư trong tài khoản phải ở mức 196.000 Nhân dân tệ. Giả thiết đặt ra cho trường hợp thành viên không rút bất kỳ khoản tiền nào ngoại trừ một khoản rút trong năm khi họ 55 tuổi, thì tỷ lệ thay thế ước tính vẫn ở dưới mức tiêu chuẩn tối thiểu quy định trong Công ước số 102 của ILO đó là 31,9% đối với người hưởng hưu trí là phụ nữ và 35,1% đối với nam giới. </w:t>
      </w:r>
    </w:p>
    <w:p w:rsidR="001F3F26" w:rsidRDefault="001F3F26" w:rsidP="001F3F26">
      <w:pPr>
        <w:spacing w:before="120" w:after="0"/>
        <w:ind w:firstLine="720"/>
        <w:jc w:val="both"/>
        <w:rPr>
          <w:rFonts w:ascii="Times New Roman" w:hAnsi="Times New Roman" w:cs="Times New Roman"/>
          <w:sz w:val="28"/>
          <w:lang w:val="en-GB"/>
        </w:rPr>
      </w:pPr>
    </w:p>
    <w:p w:rsidR="001F3F26" w:rsidRDefault="001F3F26" w:rsidP="001F3F26">
      <w:pPr>
        <w:spacing w:before="120" w:after="0"/>
        <w:ind w:firstLine="720"/>
        <w:jc w:val="both"/>
        <w:rPr>
          <w:rFonts w:ascii="Times New Roman" w:hAnsi="Times New Roman" w:cs="Times New Roman"/>
          <w:sz w:val="28"/>
          <w:lang w:val="en-GB"/>
        </w:rPr>
      </w:pPr>
    </w:p>
    <w:p w:rsidR="001F3F26" w:rsidRDefault="001F3F26" w:rsidP="001F3F26">
      <w:pPr>
        <w:spacing w:before="120" w:after="0"/>
        <w:ind w:firstLine="720"/>
        <w:jc w:val="both"/>
        <w:rPr>
          <w:rFonts w:ascii="Times New Roman" w:hAnsi="Times New Roman" w:cs="Times New Roman"/>
          <w:sz w:val="28"/>
          <w:lang w:val="en-GB"/>
        </w:rPr>
      </w:pPr>
    </w:p>
    <w:p w:rsidR="001F3F26" w:rsidRPr="00286EB5" w:rsidRDefault="001F3F26" w:rsidP="001F3F26">
      <w:pPr>
        <w:pStyle w:val="Caption"/>
        <w:jc w:val="center"/>
        <w:rPr>
          <w:rFonts w:asciiTheme="majorHAnsi" w:hAnsiTheme="majorHAnsi" w:cstheme="majorHAnsi"/>
          <w:color w:val="auto"/>
          <w:sz w:val="26"/>
          <w:szCs w:val="26"/>
        </w:rPr>
      </w:pPr>
      <w:r w:rsidRPr="00286EB5">
        <w:rPr>
          <w:rFonts w:asciiTheme="majorHAnsi" w:hAnsiTheme="majorHAnsi" w:cstheme="majorHAnsi"/>
          <w:color w:val="auto"/>
          <w:sz w:val="26"/>
          <w:szCs w:val="26"/>
        </w:rPr>
        <w:lastRenderedPageBreak/>
        <w:t xml:space="preserve">Bảng </w:t>
      </w:r>
      <w:r w:rsidRPr="00286EB5">
        <w:rPr>
          <w:rFonts w:asciiTheme="majorHAnsi" w:hAnsiTheme="majorHAnsi" w:cstheme="majorHAnsi"/>
          <w:color w:val="auto"/>
          <w:sz w:val="26"/>
          <w:szCs w:val="26"/>
        </w:rPr>
        <w:fldChar w:fldCharType="begin"/>
      </w:r>
      <w:r w:rsidRPr="00286EB5">
        <w:rPr>
          <w:rFonts w:asciiTheme="majorHAnsi" w:hAnsiTheme="majorHAnsi" w:cstheme="majorHAnsi"/>
          <w:color w:val="auto"/>
          <w:sz w:val="26"/>
          <w:szCs w:val="26"/>
        </w:rPr>
        <w:instrText xml:space="preserve"> SEQ Table \* ARABIC </w:instrText>
      </w:r>
      <w:r w:rsidRPr="00286EB5">
        <w:rPr>
          <w:rFonts w:asciiTheme="majorHAnsi" w:hAnsiTheme="majorHAnsi" w:cstheme="majorHAnsi"/>
          <w:color w:val="auto"/>
          <w:sz w:val="26"/>
          <w:szCs w:val="26"/>
        </w:rPr>
        <w:fldChar w:fldCharType="separate"/>
      </w:r>
      <w:r w:rsidRPr="00286EB5">
        <w:rPr>
          <w:rFonts w:asciiTheme="majorHAnsi" w:hAnsiTheme="majorHAnsi" w:cstheme="majorHAnsi"/>
          <w:noProof/>
          <w:color w:val="auto"/>
          <w:sz w:val="26"/>
          <w:szCs w:val="26"/>
        </w:rPr>
        <w:t>1</w:t>
      </w:r>
      <w:r w:rsidRPr="00286EB5">
        <w:rPr>
          <w:rFonts w:asciiTheme="majorHAnsi" w:hAnsiTheme="majorHAnsi" w:cstheme="majorHAnsi"/>
          <w:noProof/>
          <w:color w:val="auto"/>
          <w:sz w:val="26"/>
          <w:szCs w:val="26"/>
        </w:rPr>
        <w:fldChar w:fldCharType="end"/>
      </w:r>
      <w:r w:rsidRPr="00286EB5">
        <w:rPr>
          <w:rFonts w:asciiTheme="majorHAnsi" w:hAnsiTheme="majorHAnsi" w:cstheme="majorHAnsi"/>
          <w:color w:val="auto"/>
          <w:sz w:val="26"/>
          <w:szCs w:val="26"/>
        </w:rPr>
        <w:t xml:space="preserve">:  </w:t>
      </w:r>
      <w:r w:rsidRPr="00286EB5">
        <w:rPr>
          <w:rFonts w:asciiTheme="majorHAnsi" w:hAnsiTheme="majorHAnsi" w:cstheme="majorHAnsi"/>
          <w:color w:val="auto"/>
          <w:sz w:val="26"/>
          <w:szCs w:val="26"/>
          <w:lang w:val="en-GB"/>
        </w:rPr>
        <w:t>Quỹ</w:t>
      </w:r>
      <w:r w:rsidRPr="00286EB5">
        <w:rPr>
          <w:rFonts w:asciiTheme="majorHAnsi" w:hAnsiTheme="majorHAnsi" w:cstheme="majorHAnsi"/>
          <w:color w:val="auto"/>
          <w:sz w:val="26"/>
          <w:szCs w:val="26"/>
        </w:rPr>
        <w:t xml:space="preserve"> hưu trí công bắt buộc tại một số quốc gia Đông Á và Đông Nam Á </w:t>
      </w:r>
    </w:p>
    <w:p w:rsidR="001F3F26" w:rsidRPr="00286EB5" w:rsidRDefault="001F3F26" w:rsidP="001F3F26">
      <w:pPr>
        <w:rPr>
          <w:rFonts w:asciiTheme="majorHAnsi" w:hAnsiTheme="majorHAnsi" w:cstheme="majorHAnsi"/>
          <w:lang w:val="en-GB"/>
        </w:rPr>
      </w:pPr>
    </w:p>
    <w:tbl>
      <w:tblPr>
        <w:tblStyle w:val="TableGrid"/>
        <w:tblW w:w="0" w:type="auto"/>
        <w:tblLook w:val="04A0" w:firstRow="1" w:lastRow="0" w:firstColumn="1" w:lastColumn="0" w:noHBand="0" w:noVBand="1"/>
      </w:tblPr>
      <w:tblGrid>
        <w:gridCol w:w="1980"/>
        <w:gridCol w:w="3402"/>
        <w:gridCol w:w="3634"/>
      </w:tblGrid>
      <w:tr w:rsidR="001F3F26" w:rsidRPr="00286EB5" w:rsidTr="00D6056B">
        <w:trPr>
          <w:trHeight w:val="276"/>
        </w:trPr>
        <w:tc>
          <w:tcPr>
            <w:tcW w:w="1980" w:type="dxa"/>
            <w:vMerge w:val="restart"/>
          </w:tcPr>
          <w:p w:rsidR="001F3F26" w:rsidRPr="00286EB5" w:rsidRDefault="001F3F26" w:rsidP="00D6056B">
            <w:pPr>
              <w:rPr>
                <w:rFonts w:asciiTheme="majorHAnsi" w:hAnsiTheme="majorHAnsi" w:cstheme="majorHAnsi"/>
                <w:sz w:val="24"/>
                <w:szCs w:val="24"/>
                <w:lang w:val="en-GB"/>
              </w:rPr>
            </w:pPr>
            <w:r w:rsidRPr="00286EB5">
              <w:rPr>
                <w:rFonts w:asciiTheme="majorHAnsi" w:hAnsiTheme="majorHAnsi" w:cstheme="majorHAnsi"/>
                <w:sz w:val="24"/>
                <w:szCs w:val="24"/>
                <w:lang w:val="en-GB"/>
              </w:rPr>
              <w:t xml:space="preserve">       </w:t>
            </w:r>
          </w:p>
          <w:p w:rsidR="001F3F26" w:rsidRPr="00286EB5" w:rsidRDefault="001F3F26" w:rsidP="00D6056B">
            <w:pPr>
              <w:jc w:val="center"/>
              <w:rPr>
                <w:rFonts w:asciiTheme="majorHAnsi" w:hAnsiTheme="majorHAnsi" w:cstheme="majorHAnsi"/>
                <w:sz w:val="24"/>
                <w:szCs w:val="24"/>
                <w:lang w:val="en-GB"/>
              </w:rPr>
            </w:pPr>
            <w:r w:rsidRPr="00286EB5">
              <w:rPr>
                <w:rFonts w:asciiTheme="majorHAnsi" w:hAnsiTheme="majorHAnsi" w:cstheme="majorHAnsi"/>
                <w:sz w:val="24"/>
                <w:szCs w:val="24"/>
                <w:lang w:val="en-GB"/>
              </w:rPr>
              <w:t>Quốc gia</w:t>
            </w:r>
          </w:p>
        </w:tc>
        <w:tc>
          <w:tcPr>
            <w:tcW w:w="7036" w:type="dxa"/>
            <w:gridSpan w:val="2"/>
          </w:tcPr>
          <w:p w:rsidR="001F3F26" w:rsidRPr="00286EB5" w:rsidRDefault="001F3F26" w:rsidP="00D6056B">
            <w:pPr>
              <w:jc w:val="center"/>
              <w:rPr>
                <w:rFonts w:asciiTheme="majorHAnsi" w:hAnsiTheme="majorHAnsi" w:cstheme="majorHAnsi"/>
                <w:sz w:val="24"/>
                <w:szCs w:val="24"/>
                <w:lang w:val="en-GB"/>
              </w:rPr>
            </w:pPr>
            <w:r w:rsidRPr="00286EB5">
              <w:rPr>
                <w:rFonts w:asciiTheme="majorHAnsi" w:hAnsiTheme="majorHAnsi" w:cstheme="majorHAnsi"/>
                <w:sz w:val="24"/>
                <w:szCs w:val="24"/>
                <w:lang w:val="en-GB"/>
              </w:rPr>
              <w:t xml:space="preserve">Quỹ hưu trí công bắt buộc </w:t>
            </w:r>
          </w:p>
        </w:tc>
      </w:tr>
      <w:tr w:rsidR="001F3F26" w:rsidRPr="00286EB5" w:rsidTr="00D6056B">
        <w:trPr>
          <w:trHeight w:val="267"/>
        </w:trPr>
        <w:tc>
          <w:tcPr>
            <w:tcW w:w="1980" w:type="dxa"/>
            <w:vMerge/>
          </w:tcPr>
          <w:p w:rsidR="001F3F26" w:rsidRPr="00286EB5" w:rsidRDefault="001F3F26" w:rsidP="00D6056B">
            <w:pPr>
              <w:jc w:val="center"/>
              <w:rPr>
                <w:rFonts w:asciiTheme="majorHAnsi" w:hAnsiTheme="majorHAnsi" w:cstheme="majorHAnsi"/>
                <w:sz w:val="24"/>
                <w:szCs w:val="24"/>
                <w:lang w:val="en-GB"/>
              </w:rPr>
            </w:pPr>
          </w:p>
        </w:tc>
        <w:tc>
          <w:tcPr>
            <w:tcW w:w="3402" w:type="dxa"/>
          </w:tcPr>
          <w:p w:rsidR="001F3F26" w:rsidRPr="00286EB5" w:rsidRDefault="001F3F26" w:rsidP="00D6056B">
            <w:pPr>
              <w:jc w:val="center"/>
              <w:rPr>
                <w:rFonts w:asciiTheme="majorHAnsi" w:hAnsiTheme="majorHAnsi" w:cstheme="majorHAnsi"/>
                <w:sz w:val="24"/>
                <w:szCs w:val="24"/>
                <w:lang w:val="en-GB"/>
              </w:rPr>
            </w:pPr>
            <w:r w:rsidRPr="00286EB5">
              <w:rPr>
                <w:rFonts w:asciiTheme="majorHAnsi" w:hAnsiTheme="majorHAnsi" w:cstheme="majorHAnsi"/>
                <w:sz w:val="24"/>
                <w:szCs w:val="24"/>
                <w:lang w:val="en-GB"/>
              </w:rPr>
              <w:t>Quỹ hưu trí xã hội</w:t>
            </w:r>
          </w:p>
          <w:p w:rsidR="001F3F26" w:rsidRPr="00286EB5" w:rsidRDefault="001F3F26" w:rsidP="00D6056B">
            <w:pPr>
              <w:jc w:val="center"/>
              <w:rPr>
                <w:rFonts w:asciiTheme="majorHAnsi" w:hAnsiTheme="majorHAnsi" w:cstheme="majorHAnsi"/>
                <w:sz w:val="24"/>
                <w:szCs w:val="24"/>
                <w:lang w:val="en-GB"/>
              </w:rPr>
            </w:pPr>
            <w:r w:rsidRPr="00286EB5">
              <w:rPr>
                <w:rFonts w:asciiTheme="majorHAnsi" w:hAnsiTheme="majorHAnsi" w:cstheme="majorHAnsi"/>
                <w:sz w:val="24"/>
                <w:szCs w:val="24"/>
                <w:lang w:val="en-GB"/>
              </w:rPr>
              <w:t xml:space="preserve">không đóng góp </w:t>
            </w:r>
          </w:p>
        </w:tc>
        <w:tc>
          <w:tcPr>
            <w:tcW w:w="3634" w:type="dxa"/>
          </w:tcPr>
          <w:p w:rsidR="001F3F26" w:rsidRPr="00286EB5" w:rsidRDefault="001F3F26" w:rsidP="00D6056B">
            <w:pPr>
              <w:jc w:val="center"/>
              <w:rPr>
                <w:rFonts w:asciiTheme="majorHAnsi" w:hAnsiTheme="majorHAnsi" w:cstheme="majorHAnsi"/>
                <w:sz w:val="24"/>
                <w:szCs w:val="24"/>
                <w:lang w:val="en-GB"/>
              </w:rPr>
            </w:pPr>
            <w:r w:rsidRPr="00286EB5">
              <w:rPr>
                <w:rFonts w:asciiTheme="majorHAnsi" w:hAnsiTheme="majorHAnsi" w:cstheme="majorHAnsi"/>
                <w:sz w:val="24"/>
                <w:szCs w:val="24"/>
                <w:lang w:val="en-GB"/>
              </w:rPr>
              <w:t>Quỹ hưu trí xã hội</w:t>
            </w:r>
          </w:p>
          <w:p w:rsidR="001F3F26" w:rsidRPr="00286EB5" w:rsidRDefault="001F3F26" w:rsidP="00D6056B">
            <w:pPr>
              <w:jc w:val="center"/>
              <w:rPr>
                <w:rFonts w:asciiTheme="majorHAnsi" w:hAnsiTheme="majorHAnsi" w:cstheme="majorHAnsi"/>
                <w:sz w:val="24"/>
                <w:szCs w:val="24"/>
                <w:lang w:val="en-GB"/>
              </w:rPr>
            </w:pPr>
            <w:r w:rsidRPr="00286EB5">
              <w:rPr>
                <w:rFonts w:asciiTheme="majorHAnsi" w:hAnsiTheme="majorHAnsi" w:cstheme="majorHAnsi"/>
                <w:sz w:val="24"/>
                <w:szCs w:val="24"/>
                <w:lang w:val="en-GB"/>
              </w:rPr>
              <w:t>đóng góp</w:t>
            </w:r>
          </w:p>
        </w:tc>
      </w:tr>
      <w:tr w:rsidR="001F3F26" w:rsidRPr="00286EB5" w:rsidTr="00D6056B">
        <w:tc>
          <w:tcPr>
            <w:tcW w:w="1980" w:type="dxa"/>
          </w:tcPr>
          <w:p w:rsidR="001F3F26" w:rsidRPr="00286EB5" w:rsidRDefault="001F3F26" w:rsidP="00D6056B">
            <w:pPr>
              <w:jc w:val="both"/>
              <w:rPr>
                <w:rFonts w:asciiTheme="majorHAnsi" w:hAnsiTheme="majorHAnsi" w:cstheme="majorHAnsi"/>
                <w:lang w:val="en-GB"/>
              </w:rPr>
            </w:pPr>
            <w:r w:rsidRPr="00286EB5">
              <w:rPr>
                <w:rFonts w:asciiTheme="majorHAnsi" w:hAnsiTheme="majorHAnsi" w:cstheme="majorHAnsi"/>
                <w:lang w:val="en-GB"/>
              </w:rPr>
              <w:t>Bru-nây Đa-rút-xa-lam</w:t>
            </w:r>
          </w:p>
        </w:tc>
        <w:tc>
          <w:tcPr>
            <w:tcW w:w="3402"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Toàn dân</w:t>
            </w:r>
          </w:p>
        </w:tc>
        <w:tc>
          <w:tcPr>
            <w:tcW w:w="3634"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DC</w:t>
            </w:r>
          </w:p>
        </w:tc>
      </w:tr>
      <w:tr w:rsidR="001F3F26" w:rsidRPr="00286EB5" w:rsidTr="00D6056B">
        <w:tc>
          <w:tcPr>
            <w:tcW w:w="1980" w:type="dxa"/>
          </w:tcPr>
          <w:p w:rsidR="001F3F26" w:rsidRPr="00286EB5" w:rsidRDefault="001F3F26" w:rsidP="00D6056B">
            <w:pPr>
              <w:jc w:val="both"/>
              <w:rPr>
                <w:rFonts w:asciiTheme="majorHAnsi" w:hAnsiTheme="majorHAnsi" w:cstheme="majorHAnsi"/>
                <w:lang w:val="en-GB"/>
              </w:rPr>
            </w:pPr>
            <w:r w:rsidRPr="00286EB5">
              <w:rPr>
                <w:rFonts w:asciiTheme="majorHAnsi" w:hAnsiTheme="majorHAnsi" w:cstheme="majorHAnsi"/>
                <w:lang w:val="en-GB"/>
              </w:rPr>
              <w:t>Trung Quốc</w:t>
            </w:r>
          </w:p>
        </w:tc>
        <w:tc>
          <w:tcPr>
            <w:tcW w:w="3402"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Thẩm tra thu nhập</w:t>
            </w:r>
          </w:p>
        </w:tc>
        <w:tc>
          <w:tcPr>
            <w:tcW w:w="3634"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DB và DC</w:t>
            </w:r>
          </w:p>
        </w:tc>
      </w:tr>
      <w:tr w:rsidR="001F3F26" w:rsidRPr="00286EB5" w:rsidTr="00D6056B">
        <w:tc>
          <w:tcPr>
            <w:tcW w:w="1980" w:type="dxa"/>
          </w:tcPr>
          <w:p w:rsidR="001F3F26" w:rsidRPr="00286EB5" w:rsidRDefault="001F3F26" w:rsidP="00D6056B">
            <w:pPr>
              <w:jc w:val="both"/>
              <w:rPr>
                <w:rFonts w:asciiTheme="majorHAnsi" w:hAnsiTheme="majorHAnsi" w:cstheme="majorHAnsi"/>
                <w:lang w:val="en-GB"/>
              </w:rPr>
            </w:pPr>
            <w:r w:rsidRPr="00286EB5">
              <w:rPr>
                <w:rFonts w:asciiTheme="majorHAnsi" w:hAnsiTheme="majorHAnsi" w:cstheme="majorHAnsi"/>
                <w:lang w:val="en-GB"/>
              </w:rPr>
              <w:t>In-đô-nê-xi-a</w:t>
            </w:r>
          </w:p>
        </w:tc>
        <w:tc>
          <w:tcPr>
            <w:tcW w:w="3402"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Thẩm tra thu nhập</w:t>
            </w:r>
          </w:p>
        </w:tc>
        <w:tc>
          <w:tcPr>
            <w:tcW w:w="3634"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DB và DC</w:t>
            </w:r>
          </w:p>
        </w:tc>
      </w:tr>
      <w:tr w:rsidR="001F3F26" w:rsidRPr="00286EB5" w:rsidTr="00D6056B">
        <w:tc>
          <w:tcPr>
            <w:tcW w:w="1980" w:type="dxa"/>
          </w:tcPr>
          <w:p w:rsidR="001F3F26" w:rsidRPr="00286EB5" w:rsidRDefault="001F3F26" w:rsidP="00D6056B">
            <w:pPr>
              <w:jc w:val="both"/>
              <w:rPr>
                <w:rFonts w:asciiTheme="majorHAnsi" w:hAnsiTheme="majorHAnsi" w:cstheme="majorHAnsi"/>
                <w:lang w:val="en-GB"/>
              </w:rPr>
            </w:pPr>
            <w:r w:rsidRPr="00286EB5">
              <w:rPr>
                <w:rFonts w:asciiTheme="majorHAnsi" w:hAnsiTheme="majorHAnsi" w:cstheme="majorHAnsi"/>
                <w:lang w:val="en-GB"/>
              </w:rPr>
              <w:t>Nhật Bản</w:t>
            </w:r>
          </w:p>
        </w:tc>
        <w:tc>
          <w:tcPr>
            <w:tcW w:w="3402"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w:t>
            </w:r>
          </w:p>
        </w:tc>
        <w:tc>
          <w:tcPr>
            <w:tcW w:w="3634"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DB</w:t>
            </w:r>
          </w:p>
        </w:tc>
      </w:tr>
      <w:tr w:rsidR="001F3F26" w:rsidRPr="00286EB5" w:rsidTr="00D6056B">
        <w:tc>
          <w:tcPr>
            <w:tcW w:w="1980" w:type="dxa"/>
          </w:tcPr>
          <w:p w:rsidR="001F3F26" w:rsidRPr="00286EB5" w:rsidRDefault="001F3F26" w:rsidP="00D6056B">
            <w:pPr>
              <w:jc w:val="both"/>
              <w:rPr>
                <w:rFonts w:asciiTheme="majorHAnsi" w:hAnsiTheme="majorHAnsi" w:cstheme="majorHAnsi"/>
                <w:lang w:val="en-GB"/>
              </w:rPr>
            </w:pPr>
            <w:r w:rsidRPr="00286EB5">
              <w:rPr>
                <w:rFonts w:asciiTheme="majorHAnsi" w:hAnsiTheme="majorHAnsi" w:cstheme="majorHAnsi"/>
                <w:lang w:val="en-GB"/>
              </w:rPr>
              <w:t>Hàn Quốc</w:t>
            </w:r>
          </w:p>
        </w:tc>
        <w:tc>
          <w:tcPr>
            <w:tcW w:w="3402"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Thẩm tra thu nhập</w:t>
            </w:r>
          </w:p>
        </w:tc>
        <w:tc>
          <w:tcPr>
            <w:tcW w:w="3634"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DB</w:t>
            </w:r>
          </w:p>
        </w:tc>
      </w:tr>
      <w:tr w:rsidR="001F3F26" w:rsidRPr="00286EB5" w:rsidTr="00D6056B">
        <w:tc>
          <w:tcPr>
            <w:tcW w:w="1980" w:type="dxa"/>
          </w:tcPr>
          <w:p w:rsidR="001F3F26" w:rsidRPr="00286EB5" w:rsidRDefault="001F3F26" w:rsidP="00D6056B">
            <w:pPr>
              <w:jc w:val="both"/>
              <w:rPr>
                <w:rFonts w:asciiTheme="majorHAnsi" w:hAnsiTheme="majorHAnsi" w:cstheme="majorHAnsi"/>
                <w:lang w:val="en-GB"/>
              </w:rPr>
            </w:pPr>
            <w:r w:rsidRPr="00286EB5">
              <w:rPr>
                <w:rFonts w:asciiTheme="majorHAnsi" w:hAnsiTheme="majorHAnsi" w:cstheme="majorHAnsi"/>
                <w:lang w:val="en-GB"/>
              </w:rPr>
              <w:t>CHDCND Lào</w:t>
            </w:r>
          </w:p>
        </w:tc>
        <w:tc>
          <w:tcPr>
            <w:tcW w:w="3402"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w:t>
            </w:r>
          </w:p>
        </w:tc>
        <w:tc>
          <w:tcPr>
            <w:tcW w:w="3634"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DB</w:t>
            </w:r>
          </w:p>
        </w:tc>
      </w:tr>
      <w:tr w:rsidR="001F3F26" w:rsidRPr="00286EB5" w:rsidTr="00D6056B">
        <w:tc>
          <w:tcPr>
            <w:tcW w:w="1980" w:type="dxa"/>
          </w:tcPr>
          <w:p w:rsidR="001F3F26" w:rsidRPr="00286EB5" w:rsidRDefault="001F3F26" w:rsidP="00D6056B">
            <w:pPr>
              <w:jc w:val="both"/>
              <w:rPr>
                <w:rFonts w:asciiTheme="majorHAnsi" w:hAnsiTheme="majorHAnsi" w:cstheme="majorHAnsi"/>
                <w:lang w:val="en-GB"/>
              </w:rPr>
            </w:pPr>
            <w:r w:rsidRPr="00286EB5">
              <w:rPr>
                <w:rFonts w:asciiTheme="majorHAnsi" w:hAnsiTheme="majorHAnsi" w:cstheme="majorHAnsi"/>
                <w:lang w:val="en-GB"/>
              </w:rPr>
              <w:t>Ma-lai-xi-a</w:t>
            </w:r>
          </w:p>
        </w:tc>
        <w:tc>
          <w:tcPr>
            <w:tcW w:w="3402"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Thẩm tra thu nhập</w:t>
            </w:r>
          </w:p>
        </w:tc>
        <w:tc>
          <w:tcPr>
            <w:tcW w:w="3634"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DC</w:t>
            </w:r>
          </w:p>
        </w:tc>
      </w:tr>
      <w:tr w:rsidR="001F3F26" w:rsidRPr="00286EB5" w:rsidTr="00D6056B">
        <w:tc>
          <w:tcPr>
            <w:tcW w:w="1980" w:type="dxa"/>
          </w:tcPr>
          <w:p w:rsidR="001F3F26" w:rsidRPr="00286EB5" w:rsidRDefault="001F3F26" w:rsidP="00D6056B">
            <w:pPr>
              <w:jc w:val="both"/>
              <w:rPr>
                <w:rFonts w:asciiTheme="majorHAnsi" w:hAnsiTheme="majorHAnsi" w:cstheme="majorHAnsi"/>
                <w:lang w:val="en-GB"/>
              </w:rPr>
            </w:pPr>
            <w:r w:rsidRPr="00286EB5">
              <w:rPr>
                <w:rFonts w:asciiTheme="majorHAnsi" w:hAnsiTheme="majorHAnsi" w:cstheme="majorHAnsi"/>
                <w:lang w:val="en-GB"/>
              </w:rPr>
              <w:t>Phi-lip-pin</w:t>
            </w:r>
          </w:p>
        </w:tc>
        <w:tc>
          <w:tcPr>
            <w:tcW w:w="3402"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Thẩm tra thu nhập</w:t>
            </w:r>
          </w:p>
        </w:tc>
        <w:tc>
          <w:tcPr>
            <w:tcW w:w="3634"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DB</w:t>
            </w:r>
          </w:p>
        </w:tc>
      </w:tr>
      <w:tr w:rsidR="001F3F26" w:rsidRPr="00286EB5" w:rsidTr="00D6056B">
        <w:tc>
          <w:tcPr>
            <w:tcW w:w="1980" w:type="dxa"/>
          </w:tcPr>
          <w:p w:rsidR="001F3F26" w:rsidRPr="00286EB5" w:rsidRDefault="001F3F26" w:rsidP="00D6056B">
            <w:pPr>
              <w:jc w:val="both"/>
              <w:rPr>
                <w:rFonts w:asciiTheme="majorHAnsi" w:hAnsiTheme="majorHAnsi" w:cstheme="majorHAnsi"/>
                <w:lang w:val="en-GB"/>
              </w:rPr>
            </w:pPr>
            <w:r w:rsidRPr="00286EB5">
              <w:rPr>
                <w:rFonts w:asciiTheme="majorHAnsi" w:hAnsiTheme="majorHAnsi" w:cstheme="majorHAnsi"/>
                <w:lang w:val="en-GB"/>
              </w:rPr>
              <w:t>Xinh-ga-po</w:t>
            </w:r>
          </w:p>
        </w:tc>
        <w:tc>
          <w:tcPr>
            <w:tcW w:w="3402"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w:t>
            </w:r>
          </w:p>
        </w:tc>
        <w:tc>
          <w:tcPr>
            <w:tcW w:w="3634"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DC</w:t>
            </w:r>
          </w:p>
        </w:tc>
      </w:tr>
      <w:tr w:rsidR="001F3F26" w:rsidRPr="00286EB5" w:rsidTr="00D6056B">
        <w:trPr>
          <w:trHeight w:val="53"/>
        </w:trPr>
        <w:tc>
          <w:tcPr>
            <w:tcW w:w="1980" w:type="dxa"/>
          </w:tcPr>
          <w:p w:rsidR="001F3F26" w:rsidRPr="00286EB5" w:rsidRDefault="001F3F26" w:rsidP="00D6056B">
            <w:pPr>
              <w:jc w:val="both"/>
              <w:rPr>
                <w:rFonts w:asciiTheme="majorHAnsi" w:hAnsiTheme="majorHAnsi" w:cstheme="majorHAnsi"/>
                <w:lang w:val="en-GB"/>
              </w:rPr>
            </w:pPr>
            <w:r w:rsidRPr="00286EB5">
              <w:rPr>
                <w:rFonts w:asciiTheme="majorHAnsi" w:hAnsiTheme="majorHAnsi" w:cstheme="majorHAnsi"/>
                <w:lang w:val="en-GB"/>
              </w:rPr>
              <w:t>Thái Lan</w:t>
            </w:r>
          </w:p>
        </w:tc>
        <w:tc>
          <w:tcPr>
            <w:tcW w:w="3402"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Toàn dân</w:t>
            </w:r>
          </w:p>
        </w:tc>
        <w:tc>
          <w:tcPr>
            <w:tcW w:w="3634"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DB</w:t>
            </w:r>
          </w:p>
        </w:tc>
      </w:tr>
      <w:tr w:rsidR="001F3F26" w:rsidRPr="00286EB5" w:rsidTr="00D6056B">
        <w:tc>
          <w:tcPr>
            <w:tcW w:w="1980" w:type="dxa"/>
          </w:tcPr>
          <w:p w:rsidR="001F3F26" w:rsidRPr="00286EB5" w:rsidRDefault="001F3F26" w:rsidP="00D6056B">
            <w:pPr>
              <w:jc w:val="both"/>
              <w:rPr>
                <w:rFonts w:asciiTheme="majorHAnsi" w:hAnsiTheme="majorHAnsi" w:cstheme="majorHAnsi"/>
                <w:lang w:val="en-GB"/>
              </w:rPr>
            </w:pPr>
            <w:r w:rsidRPr="00286EB5">
              <w:rPr>
                <w:rFonts w:asciiTheme="majorHAnsi" w:hAnsiTheme="majorHAnsi" w:cstheme="majorHAnsi"/>
                <w:lang w:val="en-GB"/>
              </w:rPr>
              <w:t>Việt Nam</w:t>
            </w:r>
          </w:p>
        </w:tc>
        <w:tc>
          <w:tcPr>
            <w:tcW w:w="3402"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Thẩm tra thu nhập/Thẩm tra hưu trí</w:t>
            </w:r>
            <w:r w:rsidRPr="00286EB5">
              <w:rPr>
                <w:rStyle w:val="FootnoteReference"/>
                <w:rFonts w:asciiTheme="majorHAnsi" w:hAnsiTheme="majorHAnsi" w:cstheme="majorHAnsi"/>
                <w:lang w:val="en-GB"/>
              </w:rPr>
              <w:footnoteReference w:id="3"/>
            </w:r>
          </w:p>
        </w:tc>
        <w:tc>
          <w:tcPr>
            <w:tcW w:w="3634" w:type="dxa"/>
          </w:tcPr>
          <w:p w:rsidR="001F3F26" w:rsidRPr="00286EB5" w:rsidRDefault="001F3F26" w:rsidP="00286EB5">
            <w:pPr>
              <w:jc w:val="center"/>
              <w:rPr>
                <w:rFonts w:asciiTheme="majorHAnsi" w:hAnsiTheme="majorHAnsi" w:cstheme="majorHAnsi"/>
                <w:lang w:val="en-GB"/>
              </w:rPr>
            </w:pPr>
            <w:r w:rsidRPr="00286EB5">
              <w:rPr>
                <w:rFonts w:asciiTheme="majorHAnsi" w:hAnsiTheme="majorHAnsi" w:cstheme="majorHAnsi"/>
                <w:lang w:val="en-GB"/>
              </w:rPr>
              <w:t>DB</w:t>
            </w:r>
          </w:p>
        </w:tc>
      </w:tr>
    </w:tbl>
    <w:p w:rsidR="001F3F26" w:rsidRPr="00286EB5" w:rsidRDefault="001F3F26" w:rsidP="001F3F26">
      <w:pPr>
        <w:jc w:val="both"/>
        <w:rPr>
          <w:rFonts w:asciiTheme="majorHAnsi" w:hAnsiTheme="majorHAnsi" w:cstheme="majorHAnsi"/>
          <w:i/>
          <w:sz w:val="20"/>
          <w:szCs w:val="20"/>
          <w:lang w:val="en-GB"/>
        </w:rPr>
      </w:pPr>
      <w:r w:rsidRPr="00286EB5">
        <w:rPr>
          <w:rFonts w:asciiTheme="majorHAnsi" w:hAnsiTheme="majorHAnsi" w:cstheme="majorHAnsi"/>
          <w:i/>
          <w:sz w:val="20"/>
          <w:szCs w:val="20"/>
          <w:lang w:val="en-GB"/>
        </w:rPr>
        <w:t>Nguồn</w:t>
      </w:r>
      <w:r w:rsidRPr="00286EB5">
        <w:rPr>
          <w:rStyle w:val="FootnoteReference"/>
          <w:rFonts w:asciiTheme="majorHAnsi" w:hAnsiTheme="majorHAnsi" w:cstheme="majorHAnsi"/>
          <w:i/>
          <w:sz w:val="20"/>
          <w:szCs w:val="20"/>
          <w:lang w:val="en-GB"/>
        </w:rPr>
        <w:footnoteReference w:id="4"/>
      </w:r>
      <w:r w:rsidRPr="00286EB5">
        <w:rPr>
          <w:rFonts w:asciiTheme="majorHAnsi" w:hAnsiTheme="majorHAnsi" w:cstheme="majorHAnsi"/>
          <w:i/>
          <w:sz w:val="20"/>
          <w:szCs w:val="20"/>
          <w:lang w:val="en-GB"/>
        </w:rPr>
        <w:t xml:space="preserve">: ILO (2014); Palacios, R (2015). </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Một điểm đáng chú ý khác là tại nhiều quốc gia, các nhóm dân số đầu tiên được quy định đóng bảo hiểm theo quỹ hưu trí công là công chức và người phục vụ trong quân đội. Trước đây, các quỹ hưu trí công dành cho công chức trợ cấp ở mức hào phóng hơn so với các quỹ trợ cấp hưu trí của khu vực tư nhân. Ví dụ, quỹ này thường sử dụng mức lương cuối cùng trong công thức tính trợ cấp thay vì sử dụng mức lương trung bình trọn đời (mức lương này thường thấp hơn so với mức lương cuối cùng). Quỹ này cũng hào phóng hơn trong các quy định về nghỉ hưu sớm cũng như công nhận các khoảng thời gian không đóng góp để chăm sóc con cái, học hành...Liên quan tới khung thể chế, việc sắp xếp hưu trí cho người lao động trong lĩnh vực công trước đây được tách biệt khỏi chế độ trợ cấp hưu trí công và được quy định trong một chế độ đặc biệt do một cơ quan đặc biệt quản lý. </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Quỹ hưu trí dịch vụ dân sự tại khu vực Đông Á và Đông Nam Á được phân vào ba nhóm riêng biệt: </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 </w:t>
      </w:r>
      <w:r w:rsidRPr="00442113">
        <w:rPr>
          <w:rFonts w:ascii="Times New Roman" w:hAnsi="Times New Roman" w:cs="Times New Roman"/>
          <w:i/>
          <w:sz w:val="28"/>
          <w:lang w:val="en-GB"/>
        </w:rPr>
        <w:t xml:space="preserve">Các quốc gia </w:t>
      </w:r>
      <w:r w:rsidRPr="00442113">
        <w:rPr>
          <w:rFonts w:ascii="Times New Roman" w:hAnsi="Times New Roman" w:cs="Times New Roman"/>
          <w:i/>
          <w:sz w:val="28"/>
          <w:u w:val="single"/>
          <w:lang w:val="en-GB"/>
        </w:rPr>
        <w:t>có quỹ hưu trí dành riêng cho công chức</w:t>
      </w:r>
      <w:r w:rsidRPr="001F3F26">
        <w:rPr>
          <w:rFonts w:ascii="Times New Roman" w:hAnsi="Times New Roman" w:cs="Times New Roman"/>
          <w:sz w:val="28"/>
          <w:lang w:val="en-GB"/>
        </w:rPr>
        <w:t xml:space="preserve"> bao gồm: Trung Quốc, In-đô-nê-xi-a, Hàn Quố</w:t>
      </w:r>
      <w:r w:rsidR="005B2580">
        <w:rPr>
          <w:rFonts w:ascii="Times New Roman" w:hAnsi="Times New Roman" w:cs="Times New Roman"/>
          <w:sz w:val="28"/>
          <w:lang w:val="en-GB"/>
        </w:rPr>
        <w:t xml:space="preserve">c, </w:t>
      </w:r>
      <w:r w:rsidRPr="001F3F26">
        <w:rPr>
          <w:rFonts w:ascii="Times New Roman" w:hAnsi="Times New Roman" w:cs="Times New Roman"/>
          <w:sz w:val="28"/>
          <w:lang w:val="en-GB"/>
        </w:rPr>
        <w:t>Lào, Ma-lai-xi-a, Phi-lip-pin và Thái Lan.</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 </w:t>
      </w:r>
      <w:r w:rsidRPr="00442113">
        <w:rPr>
          <w:rFonts w:ascii="Times New Roman" w:hAnsi="Times New Roman" w:cs="Times New Roman"/>
          <w:i/>
          <w:sz w:val="28"/>
          <w:lang w:val="en-GB"/>
        </w:rPr>
        <w:t xml:space="preserve">Các nền kinh tế có quỹ </w:t>
      </w:r>
      <w:r w:rsidRPr="00442113">
        <w:rPr>
          <w:rFonts w:ascii="Times New Roman" w:hAnsi="Times New Roman" w:cs="Times New Roman"/>
          <w:i/>
          <w:sz w:val="28"/>
          <w:u w:val="single"/>
          <w:lang w:val="en-GB"/>
        </w:rPr>
        <w:t xml:space="preserve">hưu trí tích hợp cho tất cả lao động trong lĩnh vực chính thức </w:t>
      </w:r>
      <w:r w:rsidRPr="001F3F26">
        <w:rPr>
          <w:rFonts w:ascii="Times New Roman" w:hAnsi="Times New Roman" w:cs="Times New Roman"/>
          <w:sz w:val="28"/>
          <w:lang w:val="en-GB"/>
        </w:rPr>
        <w:t>bao gồm: Trung Quốc, Nhật Bản, Mông Cổ, Xinh-ga-po và Việt Nam sau cuộc cải tổ năm 2014. In-đô-nê-xi-a cũng lên kế hoạch dần chuyển sang hướng này mặc dù chưa khởi động công tác triển khai.</w:t>
      </w:r>
    </w:p>
    <w:p w:rsidR="001F3F26" w:rsidRP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lastRenderedPageBreak/>
        <w:t xml:space="preserve">• </w:t>
      </w:r>
      <w:r w:rsidRPr="00442113">
        <w:rPr>
          <w:rFonts w:ascii="Times New Roman" w:hAnsi="Times New Roman" w:cs="Times New Roman"/>
          <w:i/>
          <w:sz w:val="28"/>
          <w:lang w:val="en-GB"/>
        </w:rPr>
        <w:t xml:space="preserve">Các quốc gia </w:t>
      </w:r>
      <w:r w:rsidRPr="00442113">
        <w:rPr>
          <w:rFonts w:ascii="Times New Roman" w:hAnsi="Times New Roman" w:cs="Times New Roman"/>
          <w:i/>
          <w:sz w:val="28"/>
          <w:u w:val="single"/>
          <w:lang w:val="en-GB"/>
        </w:rPr>
        <w:t>chỉ có phạm vi bao phủ đối với công chức</w:t>
      </w:r>
      <w:r w:rsidRPr="001F3F26">
        <w:rPr>
          <w:rFonts w:ascii="Times New Roman" w:hAnsi="Times New Roman" w:cs="Times New Roman"/>
          <w:sz w:val="28"/>
          <w:lang w:val="en-GB"/>
        </w:rPr>
        <w:t xml:space="preserve"> bao gồm Cam-pu-chia, Mi-an-ma và Đông Ti-mo</w:t>
      </w:r>
      <w:r w:rsidRPr="001F3F26">
        <w:rPr>
          <w:rStyle w:val="FootnoteReference"/>
          <w:rFonts w:ascii="Times New Roman" w:hAnsi="Times New Roman" w:cs="Times New Roman"/>
          <w:sz w:val="28"/>
          <w:lang w:val="en-GB"/>
        </w:rPr>
        <w:footnoteReference w:id="5"/>
      </w:r>
      <w:r w:rsidRPr="001F3F26">
        <w:rPr>
          <w:rFonts w:ascii="Times New Roman" w:hAnsi="Times New Roman" w:cs="Times New Roman"/>
          <w:sz w:val="28"/>
          <w:lang w:val="en-GB"/>
        </w:rPr>
        <w:t xml:space="preserve">. </w:t>
      </w:r>
    </w:p>
    <w:p w:rsidR="005B2580"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Ngoại trừ Đông Ti-mo thì các quỹ hưu trí dịch vụ dân sự đều hoạt động theo quỹ DB và phát triển ở mức cao với việc công chức gần đến tuổi hưu trí được nhận đầy đủ khoản lương hưu với tỷ lệ khá cao giữa người được hưởng hưu trí và người trong độ tuổi lao động.</w:t>
      </w:r>
      <w:r w:rsidR="00431017">
        <w:rPr>
          <w:rFonts w:ascii="Times New Roman" w:hAnsi="Times New Roman" w:cs="Times New Roman"/>
          <w:sz w:val="28"/>
          <w:lang w:val="en-GB"/>
        </w:rPr>
        <w:t xml:space="preserve"> </w:t>
      </w:r>
    </w:p>
    <w:p w:rsidR="005B2580"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Xu hướng đang diễn ra đó là lồng ghép chương trình hưu trí đặc biệt dành cho công chức vào quỹ hưu chí công. Các nhân tố chính thúc đẩy tạo ra thay đổi là những áp lực về tài chính, nâng cao nhận thức của người dân về tính bất bình đẳng hoặc mức độ trợ cấp của các chế độ hưu trí khác nhau và nhu cầu cắt giảm chi phí hành chính. </w:t>
      </w:r>
    </w:p>
    <w:p w:rsidR="001F3F26" w:rsidRDefault="001F3F26"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Trên thực tế, các quỹ hưu trí cho công chức thường được thực hiện ở mức hào phóng hơn so với các quỹ hưu trí toàn dân, sự mất thăng bằng giữa khoản đóng góp và khoản trợ cấp thường gây ra những vấn đề nghiêm trọng về ngân sách và tạo ra vấn đề bất bình đẳng giữa công chức và lao động trong khu vực tư nhân. Bên cạnh đó, việc quản lý quỹ khác nhau rõ ràng gây ra phát sinh chi phí. Ví dụ, chi phí cho mỗi thành viên tham gia quỹ hưu trí dịch vụ dân sự ở Thái Lan cao hơn gấp 6 lần so với quỹ toàn dân.</w:t>
      </w:r>
      <w:r w:rsidRPr="001F3F26">
        <w:rPr>
          <w:rStyle w:val="FootnoteReference"/>
          <w:rFonts w:ascii="Times New Roman" w:hAnsi="Times New Roman" w:cs="Times New Roman"/>
          <w:sz w:val="28"/>
          <w:lang w:val="en-GB"/>
        </w:rPr>
        <w:footnoteReference w:id="6"/>
      </w:r>
      <w:r w:rsidRPr="001F3F26">
        <w:rPr>
          <w:rFonts w:ascii="Times New Roman" w:hAnsi="Times New Roman" w:cs="Times New Roman"/>
          <w:sz w:val="28"/>
          <w:lang w:val="en-GB"/>
        </w:rPr>
        <w:t xml:space="preserve">  </w:t>
      </w:r>
    </w:p>
    <w:p w:rsidR="00B61F73" w:rsidRPr="002A35A0" w:rsidRDefault="00B61F73" w:rsidP="00B61F73">
      <w:pPr>
        <w:spacing w:before="120" w:after="0"/>
        <w:ind w:firstLine="720"/>
        <w:jc w:val="both"/>
        <w:rPr>
          <w:rFonts w:ascii="Times New Roman" w:hAnsi="Times New Roman" w:cs="Times New Roman"/>
          <w:b/>
          <w:sz w:val="28"/>
          <w:lang w:val="en-GB"/>
        </w:rPr>
      </w:pPr>
      <w:r w:rsidRPr="002A35A0">
        <w:rPr>
          <w:rFonts w:ascii="Times New Roman" w:hAnsi="Times New Roman" w:cs="Times New Roman"/>
          <w:b/>
          <w:sz w:val="28"/>
          <w:lang w:val="en-GB"/>
        </w:rPr>
        <w:t xml:space="preserve">4. </w:t>
      </w:r>
      <w:r w:rsidR="001E13BB" w:rsidRPr="002A35A0">
        <w:rPr>
          <w:rFonts w:ascii="Times New Roman" w:hAnsi="Times New Roman" w:cs="Times New Roman"/>
          <w:b/>
          <w:sz w:val="28"/>
          <w:lang w:val="en-GB"/>
        </w:rPr>
        <w:t xml:space="preserve">Một số </w:t>
      </w:r>
      <w:r w:rsidRPr="002A35A0">
        <w:rPr>
          <w:rFonts w:ascii="Times New Roman" w:hAnsi="Times New Roman" w:cs="Times New Roman"/>
          <w:b/>
          <w:sz w:val="28"/>
          <w:lang w:val="en-GB"/>
        </w:rPr>
        <w:t>kinh nghiệm</w:t>
      </w:r>
      <w:r w:rsidR="001E13BB" w:rsidRPr="002A35A0">
        <w:rPr>
          <w:rFonts w:ascii="Times New Roman" w:hAnsi="Times New Roman" w:cs="Times New Roman"/>
          <w:b/>
          <w:sz w:val="28"/>
          <w:lang w:val="en-GB"/>
        </w:rPr>
        <w:t xml:space="preserve"> chính rút ra</w:t>
      </w:r>
      <w:r w:rsidRPr="002A35A0">
        <w:rPr>
          <w:rFonts w:ascii="Times New Roman" w:hAnsi="Times New Roman" w:cs="Times New Roman"/>
          <w:b/>
          <w:sz w:val="28"/>
          <w:lang w:val="en-GB"/>
        </w:rPr>
        <w:t xml:space="preserve"> liên quan đến xây dựng hệ thống BHXH đa tầng</w:t>
      </w:r>
    </w:p>
    <w:p w:rsidR="00B61F73" w:rsidRPr="002A35A0" w:rsidRDefault="00B61F73" w:rsidP="00B61F73">
      <w:pPr>
        <w:spacing w:before="120" w:after="0"/>
        <w:ind w:firstLine="720"/>
        <w:jc w:val="both"/>
        <w:rPr>
          <w:rFonts w:asciiTheme="majorHAnsi" w:hAnsiTheme="majorHAnsi" w:cstheme="majorHAnsi"/>
          <w:color w:val="000000"/>
          <w:sz w:val="28"/>
          <w:szCs w:val="28"/>
          <w:shd w:val="clear" w:color="auto" w:fill="FFFFFF"/>
        </w:rPr>
      </w:pPr>
      <w:r w:rsidRPr="002A35A0">
        <w:rPr>
          <w:rFonts w:asciiTheme="majorHAnsi" w:hAnsiTheme="majorHAnsi" w:cstheme="majorHAnsi"/>
          <w:color w:val="000000"/>
          <w:sz w:val="28"/>
          <w:szCs w:val="28"/>
          <w:shd w:val="clear" w:color="auto" w:fill="FFFFFF"/>
        </w:rPr>
        <w:t xml:space="preserve">(i) Xây dựng hệ thống BHXH đa tầng đang là xu hướng chung của các nước đã và đang hướng tới; </w:t>
      </w:r>
    </w:p>
    <w:p w:rsidR="00B61F73" w:rsidRPr="002A35A0" w:rsidRDefault="00B61F73" w:rsidP="00B61F73">
      <w:pPr>
        <w:spacing w:before="120" w:after="0"/>
        <w:ind w:firstLine="720"/>
        <w:jc w:val="both"/>
        <w:rPr>
          <w:rFonts w:asciiTheme="majorHAnsi" w:hAnsiTheme="majorHAnsi" w:cstheme="majorHAnsi"/>
          <w:color w:val="000000"/>
          <w:sz w:val="28"/>
          <w:szCs w:val="28"/>
          <w:shd w:val="clear" w:color="auto" w:fill="FFFFFF"/>
        </w:rPr>
      </w:pPr>
      <w:r w:rsidRPr="002A35A0">
        <w:rPr>
          <w:rFonts w:asciiTheme="majorHAnsi" w:hAnsiTheme="majorHAnsi" w:cstheme="majorHAnsi"/>
          <w:color w:val="000000"/>
          <w:sz w:val="28"/>
          <w:szCs w:val="28"/>
          <w:shd w:val="clear" w:color="auto" w:fill="FFFFFF"/>
        </w:rPr>
        <w:t xml:space="preserve">(ii) </w:t>
      </w:r>
      <w:r w:rsidR="00B478C3" w:rsidRPr="002A35A0">
        <w:rPr>
          <w:rFonts w:asciiTheme="majorHAnsi" w:hAnsiTheme="majorHAnsi" w:cstheme="majorHAnsi"/>
          <w:color w:val="000000"/>
          <w:sz w:val="28"/>
          <w:szCs w:val="28"/>
          <w:shd w:val="clear" w:color="auto" w:fill="FFFFFF"/>
        </w:rPr>
        <w:t xml:space="preserve">Mục tiêu là từng bước mở rộng đối tượng tham gia và thụ hưởng BHXH, tiến tới BHXH toàn dân (mọi người lao động trong độ tuổi đều được tham gia và mọi người lao động khi hết tuổi đều được thụ hưởng); </w:t>
      </w:r>
    </w:p>
    <w:p w:rsidR="00B478C3" w:rsidRPr="002A35A0" w:rsidRDefault="00B478C3" w:rsidP="00B61F73">
      <w:pPr>
        <w:spacing w:before="120" w:after="0"/>
        <w:ind w:firstLine="720"/>
        <w:jc w:val="both"/>
        <w:rPr>
          <w:rFonts w:asciiTheme="majorHAnsi" w:hAnsiTheme="majorHAnsi" w:cstheme="majorHAnsi"/>
          <w:color w:val="000000"/>
          <w:sz w:val="28"/>
          <w:szCs w:val="28"/>
          <w:shd w:val="clear" w:color="auto" w:fill="FFFFFF"/>
        </w:rPr>
      </w:pPr>
      <w:r w:rsidRPr="002A35A0">
        <w:rPr>
          <w:rFonts w:asciiTheme="majorHAnsi" w:hAnsiTheme="majorHAnsi" w:cstheme="majorHAnsi"/>
          <w:color w:val="000000"/>
          <w:sz w:val="28"/>
          <w:szCs w:val="28"/>
          <w:shd w:val="clear" w:color="auto" w:fill="FFFFFF"/>
        </w:rPr>
        <w:t xml:space="preserve">(iii) Tầng </w:t>
      </w:r>
      <w:r w:rsidR="00C36880" w:rsidRPr="002A35A0">
        <w:rPr>
          <w:rFonts w:asciiTheme="majorHAnsi" w:hAnsiTheme="majorHAnsi" w:cstheme="majorHAnsi"/>
          <w:color w:val="000000"/>
          <w:sz w:val="28"/>
          <w:szCs w:val="28"/>
          <w:shd w:val="clear" w:color="auto" w:fill="FFFFFF"/>
        </w:rPr>
        <w:t xml:space="preserve">1 - </w:t>
      </w:r>
      <w:r w:rsidR="009D36A1" w:rsidRPr="002A35A0">
        <w:rPr>
          <w:rFonts w:asciiTheme="majorHAnsi" w:hAnsiTheme="majorHAnsi" w:cstheme="majorHAnsi"/>
          <w:i/>
          <w:color w:val="000000"/>
          <w:sz w:val="28"/>
          <w:szCs w:val="28"/>
          <w:shd w:val="clear" w:color="auto" w:fill="FFFFFF"/>
        </w:rPr>
        <w:t>Trợ cấp hưu trí xã hội</w:t>
      </w:r>
      <w:r w:rsidR="009D36A1" w:rsidRPr="002A35A0">
        <w:rPr>
          <w:rFonts w:asciiTheme="majorHAnsi" w:hAnsiTheme="majorHAnsi" w:cstheme="majorHAnsi"/>
          <w:color w:val="000000"/>
          <w:sz w:val="28"/>
          <w:szCs w:val="28"/>
          <w:shd w:val="clear" w:color="auto" w:fill="FFFFFF"/>
        </w:rPr>
        <w:t xml:space="preserve"> là </w:t>
      </w:r>
      <w:r w:rsidR="00C36880" w:rsidRPr="002A35A0">
        <w:rPr>
          <w:rFonts w:asciiTheme="majorHAnsi" w:hAnsiTheme="majorHAnsi" w:cstheme="majorHAnsi"/>
          <w:color w:val="000000"/>
          <w:sz w:val="28"/>
          <w:szCs w:val="28"/>
          <w:shd w:val="clear" w:color="auto" w:fill="FFFFFF"/>
        </w:rPr>
        <w:t xml:space="preserve">tầng </w:t>
      </w:r>
      <w:r w:rsidRPr="002A35A0">
        <w:rPr>
          <w:rFonts w:asciiTheme="majorHAnsi" w:hAnsiTheme="majorHAnsi" w:cstheme="majorHAnsi"/>
          <w:color w:val="000000"/>
          <w:sz w:val="28"/>
          <w:szCs w:val="28"/>
          <w:shd w:val="clear" w:color="auto" w:fill="FFFFFF"/>
        </w:rPr>
        <w:t>thấp nhất của hệ thống đa tầng đều do NSNN đảm bảo, tùy thuộc vào điều kiện của mỗi quốc gia (trình độ quản lý, khả năng ngân sách) mà có thiết kế khác nhau (có thẩm tra/áp dụng có điều kiện hoặc không thẩm tra/áp dụng với mọi người cao tuổi không có điều kiệ</w:t>
      </w:r>
      <w:r w:rsidR="00716EC5" w:rsidRPr="002A35A0">
        <w:rPr>
          <w:rFonts w:asciiTheme="majorHAnsi" w:hAnsiTheme="majorHAnsi" w:cstheme="majorHAnsi"/>
          <w:color w:val="000000"/>
          <w:sz w:val="28"/>
          <w:szCs w:val="28"/>
          <w:shd w:val="clear" w:color="auto" w:fill="FFFFFF"/>
        </w:rPr>
        <w:t>n);</w:t>
      </w:r>
    </w:p>
    <w:p w:rsidR="00C36880" w:rsidRPr="002A35A0" w:rsidRDefault="002F3397" w:rsidP="00C36880">
      <w:pPr>
        <w:spacing w:before="120" w:after="0"/>
        <w:ind w:firstLine="720"/>
        <w:jc w:val="both"/>
        <w:rPr>
          <w:rFonts w:ascii="Times New Roman" w:hAnsi="Times New Roman" w:cs="Times New Roman"/>
          <w:sz w:val="28"/>
          <w:szCs w:val="28"/>
        </w:rPr>
      </w:pPr>
      <w:r w:rsidRPr="002A35A0">
        <w:rPr>
          <w:rFonts w:asciiTheme="majorHAnsi" w:hAnsiTheme="majorHAnsi" w:cstheme="majorHAnsi"/>
          <w:color w:val="000000"/>
          <w:sz w:val="28"/>
          <w:szCs w:val="28"/>
          <w:shd w:val="clear" w:color="auto" w:fill="FFFFFF"/>
        </w:rPr>
        <w:t xml:space="preserve">(iv) </w:t>
      </w:r>
      <w:r w:rsidRPr="002A35A0">
        <w:rPr>
          <w:rFonts w:ascii="Times New Roman" w:hAnsi="Times New Roman" w:cs="Times New Roman"/>
          <w:sz w:val="28"/>
          <w:szCs w:val="28"/>
        </w:rPr>
        <w:t xml:space="preserve">Tầng 2 </w:t>
      </w:r>
      <w:r w:rsidR="009D36A1" w:rsidRPr="002A35A0">
        <w:rPr>
          <w:rFonts w:ascii="Times New Roman" w:hAnsi="Times New Roman" w:cs="Times New Roman"/>
          <w:sz w:val="28"/>
          <w:szCs w:val="28"/>
        </w:rPr>
        <w:t>–</w:t>
      </w:r>
      <w:r w:rsidR="009D36A1" w:rsidRPr="002A35A0">
        <w:rPr>
          <w:rFonts w:ascii="Times New Roman" w:hAnsi="Times New Roman" w:cs="Times New Roman"/>
          <w:i/>
          <w:sz w:val="28"/>
          <w:szCs w:val="28"/>
        </w:rPr>
        <w:t xml:space="preserve"> Bảo hiểm xã hội cơ bản</w:t>
      </w:r>
      <w:r w:rsidR="009D36A1" w:rsidRPr="002A35A0">
        <w:rPr>
          <w:rFonts w:ascii="Times New Roman" w:hAnsi="Times New Roman" w:cs="Times New Roman"/>
          <w:sz w:val="28"/>
          <w:szCs w:val="28"/>
        </w:rPr>
        <w:t xml:space="preserve"> </w:t>
      </w:r>
      <w:r w:rsidRPr="002A35A0">
        <w:rPr>
          <w:rFonts w:ascii="Times New Roman" w:hAnsi="Times New Roman" w:cs="Times New Roman"/>
          <w:sz w:val="28"/>
          <w:szCs w:val="28"/>
        </w:rPr>
        <w:t xml:space="preserve">là tầng có đóng góp, chủ yếu hướng tới người lao động khu vực chính thức, nhưng được thiết kế theo hướng bao phủ cho cả người lao động phi chính thức. Về mặt dài hạn, việc mở rộng Tầng 2 sẽ cần đi đôi với một chiến lược tổng thể và toàn diện về chính thức hóa để nâng số </w:t>
      </w:r>
      <w:r w:rsidRPr="002A35A0">
        <w:rPr>
          <w:rFonts w:ascii="Times New Roman" w:hAnsi="Times New Roman" w:cs="Times New Roman"/>
          <w:sz w:val="28"/>
          <w:szCs w:val="28"/>
        </w:rPr>
        <w:lastRenderedPageBreak/>
        <w:t xml:space="preserve">người đủ điều kiện tham gia BHXH theo luật định, bao gồm cả những nỗ lực nâng cao sự tuân thủ pháp luật về BHXH trong khu vực chính thức. </w:t>
      </w:r>
    </w:p>
    <w:p w:rsidR="00C36880" w:rsidRPr="00C36880" w:rsidRDefault="00242160" w:rsidP="00C36880">
      <w:pPr>
        <w:spacing w:before="120" w:after="0"/>
        <w:ind w:firstLine="720"/>
        <w:jc w:val="both"/>
        <w:rPr>
          <w:rFonts w:ascii="Times New Roman" w:hAnsi="Times New Roman" w:cs="Times New Roman"/>
          <w:sz w:val="28"/>
          <w:szCs w:val="28"/>
        </w:rPr>
      </w:pPr>
      <w:r w:rsidRPr="002A35A0">
        <w:rPr>
          <w:rFonts w:ascii="Times New Roman" w:hAnsi="Times New Roman" w:cs="Times New Roman"/>
          <w:sz w:val="28"/>
          <w:szCs w:val="28"/>
        </w:rPr>
        <w:t xml:space="preserve">(v) </w:t>
      </w:r>
      <w:r w:rsidR="00C36880" w:rsidRPr="002A35A0">
        <w:rPr>
          <w:rFonts w:ascii="Times New Roman" w:hAnsi="Times New Roman" w:cs="Times New Roman"/>
          <w:sz w:val="28"/>
          <w:szCs w:val="28"/>
        </w:rPr>
        <w:t>Tầng 3</w:t>
      </w:r>
      <w:r w:rsidR="0070627F" w:rsidRPr="002A35A0">
        <w:rPr>
          <w:rFonts w:ascii="Times New Roman" w:hAnsi="Times New Roman" w:cs="Times New Roman"/>
          <w:sz w:val="28"/>
          <w:szCs w:val="28"/>
        </w:rPr>
        <w:t xml:space="preserve"> -</w:t>
      </w:r>
      <w:r w:rsidR="00C36880" w:rsidRPr="002A35A0">
        <w:rPr>
          <w:rFonts w:ascii="Times New Roman" w:hAnsi="Times New Roman" w:cs="Times New Roman"/>
          <w:sz w:val="28"/>
          <w:szCs w:val="28"/>
        </w:rPr>
        <w:t xml:space="preserve"> </w:t>
      </w:r>
      <w:r w:rsidR="00C36880" w:rsidRPr="002A35A0">
        <w:rPr>
          <w:rFonts w:ascii="Times New Roman" w:hAnsi="Times New Roman" w:cs="Times New Roman"/>
          <w:i/>
          <w:sz w:val="28"/>
          <w:szCs w:val="28"/>
        </w:rPr>
        <w:t>Bảo hiểm hưu trí bổ sung</w:t>
      </w:r>
      <w:r w:rsidR="00C36880" w:rsidRPr="002A35A0">
        <w:rPr>
          <w:rFonts w:ascii="Times New Roman" w:hAnsi="Times New Roman" w:cs="Times New Roman"/>
          <w:sz w:val="28"/>
          <w:szCs w:val="28"/>
        </w:rPr>
        <w:t xml:space="preserve"> bao gồm các chế độ hưu trí nghề nghiệp hoặc các chế độ hưu trí khối tư nhân trên cơ sở đóng góp tự nguyện</w:t>
      </w:r>
      <w:r w:rsidR="001D1CE7" w:rsidRPr="002A35A0">
        <w:rPr>
          <w:rFonts w:ascii="Times New Roman" w:hAnsi="Times New Roman" w:cs="Times New Roman"/>
          <w:sz w:val="28"/>
          <w:szCs w:val="28"/>
        </w:rPr>
        <w:t xml:space="preserve">. </w:t>
      </w:r>
      <w:r w:rsidR="00C36880" w:rsidRPr="002A35A0">
        <w:rPr>
          <w:rFonts w:ascii="Times New Roman" w:hAnsi="Times New Roman" w:cs="Times New Roman"/>
          <w:sz w:val="28"/>
          <w:szCs w:val="28"/>
        </w:rPr>
        <w:t>Tài khoản hưu trí cá nhân có tác dụng bổ trợ cho chương trình hưu trí bắt buộc do nhà nước quản lý, hướng tới những người mong muốn có tỷ lệ hưởng cao hơn.</w:t>
      </w:r>
      <w:r w:rsidR="00C36880" w:rsidRPr="00C36880">
        <w:rPr>
          <w:rFonts w:ascii="Times New Roman" w:hAnsi="Times New Roman" w:cs="Times New Roman"/>
          <w:sz w:val="28"/>
          <w:szCs w:val="28"/>
        </w:rPr>
        <w:t xml:space="preserve"> </w:t>
      </w:r>
    </w:p>
    <w:p w:rsidR="003C7644" w:rsidRPr="009A44B3" w:rsidRDefault="00960567" w:rsidP="009A44B3">
      <w:pPr>
        <w:pStyle w:val="ListParagraph"/>
        <w:numPr>
          <w:ilvl w:val="0"/>
          <w:numId w:val="15"/>
        </w:numPr>
        <w:spacing w:before="120" w:after="0"/>
        <w:ind w:left="426" w:hanging="426"/>
        <w:jc w:val="both"/>
        <w:rPr>
          <w:rFonts w:ascii="Times New Roman" w:hAnsi="Times New Roman"/>
          <w:b/>
          <w:sz w:val="28"/>
          <w:szCs w:val="28"/>
        </w:rPr>
      </w:pPr>
      <w:r w:rsidRPr="009A44B3">
        <w:rPr>
          <w:rFonts w:ascii="Times New Roman" w:eastAsia="Arial" w:hAnsi="Times New Roman" w:cs="Times New Roman"/>
          <w:b/>
          <w:sz w:val="28"/>
          <w:szCs w:val="28"/>
        </w:rPr>
        <w:t>NỘI DUNG</w:t>
      </w:r>
      <w:r w:rsidR="00B079A9" w:rsidRPr="009A44B3">
        <w:rPr>
          <w:rFonts w:ascii="Times New Roman" w:eastAsia="Arial" w:hAnsi="Times New Roman" w:cs="Times New Roman"/>
          <w:b/>
          <w:sz w:val="28"/>
          <w:szCs w:val="28"/>
          <w:lang w:val="vi-VN"/>
        </w:rPr>
        <w:t xml:space="preserve"> 2: </w:t>
      </w:r>
      <w:r w:rsidR="008A4600" w:rsidRPr="009A44B3">
        <w:rPr>
          <w:rFonts w:ascii="Times New Roman" w:eastAsia="Arial" w:hAnsi="Times New Roman" w:cs="Times New Roman"/>
          <w:b/>
          <w:sz w:val="28"/>
          <w:szCs w:val="28"/>
        </w:rPr>
        <w:t>VẤN ĐỀ MỞ RỘNG ĐỐI TƯỢNG THAM GIA BẢO HIỂM XÃ HỘI</w:t>
      </w:r>
    </w:p>
    <w:p w:rsidR="003C7644" w:rsidRPr="00CD1524" w:rsidRDefault="003C7644" w:rsidP="001F3F26">
      <w:pPr>
        <w:spacing w:before="120" w:after="0"/>
        <w:ind w:firstLine="720"/>
        <w:jc w:val="both"/>
        <w:rPr>
          <w:rFonts w:ascii="Times New Roman" w:hAnsi="Times New Roman"/>
          <w:b/>
          <w:sz w:val="28"/>
          <w:szCs w:val="28"/>
        </w:rPr>
      </w:pPr>
      <w:r w:rsidRPr="00CD1524">
        <w:rPr>
          <w:rFonts w:ascii="Times New Roman" w:hAnsi="Times New Roman"/>
          <w:b/>
          <w:sz w:val="28"/>
          <w:szCs w:val="28"/>
        </w:rPr>
        <w:t>1. Một số yếu tố quyết định đến vấn đề mở rộng đối tượng tham gia BHXH</w:t>
      </w:r>
    </w:p>
    <w:p w:rsidR="003C7644" w:rsidRDefault="00D55380" w:rsidP="00CD1524">
      <w:pPr>
        <w:spacing w:before="120" w:after="0"/>
        <w:ind w:firstLine="720"/>
        <w:jc w:val="both"/>
        <w:rPr>
          <w:rFonts w:ascii="Times New Roman" w:hAnsi="Times New Roman"/>
          <w:sz w:val="28"/>
          <w:szCs w:val="28"/>
        </w:rPr>
      </w:pPr>
      <w:r w:rsidRPr="00CD1524">
        <w:rPr>
          <w:rFonts w:ascii="Times New Roman" w:hAnsi="Times New Roman"/>
          <w:sz w:val="28"/>
          <w:szCs w:val="28"/>
        </w:rPr>
        <w:t>- Yếu tố quyết định để có thể thực hiện thành công mở rộng diện bao phủ của hệ thống BHXH đối với người lao động</w:t>
      </w:r>
      <w:r w:rsidR="003C7644" w:rsidRPr="00CD1524">
        <w:rPr>
          <w:rFonts w:ascii="Times New Roman" w:hAnsi="Times New Roman"/>
          <w:sz w:val="28"/>
          <w:szCs w:val="28"/>
        </w:rPr>
        <w:t xml:space="preserve"> đó là vai trò hỗ trợ từ ngân sách của nhà nước (Bài học Trung Quốc, bài học thành công bảo hiểm y tế của Việt Nam).</w:t>
      </w:r>
    </w:p>
    <w:p w:rsidR="002E3CD9" w:rsidRDefault="002E3CD9" w:rsidP="002E3CD9">
      <w:pPr>
        <w:spacing w:before="120" w:after="0"/>
        <w:ind w:firstLine="720"/>
        <w:jc w:val="both"/>
        <w:rPr>
          <w:rFonts w:ascii="Times New Roman" w:hAnsi="Times New Roman"/>
          <w:sz w:val="28"/>
          <w:szCs w:val="28"/>
        </w:rPr>
      </w:pPr>
      <w:r>
        <w:rPr>
          <w:rFonts w:ascii="Times New Roman" w:hAnsi="Times New Roman"/>
          <w:sz w:val="28"/>
          <w:szCs w:val="28"/>
        </w:rPr>
        <w:t xml:space="preserve">- Hàn Quốc có chính sách hỗ trợ người dân tham gia BHXH rất lớn: (i) </w:t>
      </w:r>
      <w:r w:rsidRPr="002E3CD9">
        <w:rPr>
          <w:rFonts w:ascii="Times New Roman" w:hAnsi="Times New Roman"/>
          <w:sz w:val="28"/>
          <w:szCs w:val="28"/>
        </w:rPr>
        <w:t>Miễn mức đóng góp cho người nghèo và người thất nghiệp (Chính phủ trả mức đóng tối thiểu</w:t>
      </w:r>
      <w:r>
        <w:rPr>
          <w:rFonts w:ascii="Times New Roman" w:hAnsi="Times New Roman"/>
          <w:sz w:val="28"/>
          <w:szCs w:val="28"/>
        </w:rPr>
        <w:t xml:space="preserve">); (ii) </w:t>
      </w:r>
      <w:r w:rsidRPr="002E3CD9">
        <w:rPr>
          <w:rFonts w:ascii="Times New Roman" w:hAnsi="Times New Roman"/>
          <w:sz w:val="28"/>
          <w:szCs w:val="28"/>
        </w:rPr>
        <w:t>Mức hỗ trợ 1:1 với nông dân và ngư dân</w:t>
      </w:r>
      <w:r>
        <w:rPr>
          <w:rFonts w:ascii="Times New Roman" w:hAnsi="Times New Roman"/>
          <w:sz w:val="28"/>
          <w:szCs w:val="28"/>
        </w:rPr>
        <w:t xml:space="preserve">; (iii) </w:t>
      </w:r>
      <w:r w:rsidRPr="002E3CD9">
        <w:rPr>
          <w:rFonts w:ascii="Times New Roman" w:hAnsi="Times New Roman"/>
          <w:sz w:val="28"/>
          <w:szCs w:val="28"/>
        </w:rPr>
        <w:t>Có chính sách lương hưu cơ bản với 70 % ngườ</w:t>
      </w:r>
      <w:r>
        <w:rPr>
          <w:rFonts w:ascii="Times New Roman" w:hAnsi="Times New Roman"/>
          <w:sz w:val="28"/>
          <w:szCs w:val="28"/>
        </w:rPr>
        <w:t xml:space="preserve">i từ 65 tuổi trở lên từ năm </w:t>
      </w:r>
      <w:r w:rsidRPr="002E3CD9">
        <w:rPr>
          <w:rFonts w:ascii="Times New Roman" w:hAnsi="Times New Roman"/>
          <w:sz w:val="28"/>
          <w:szCs w:val="28"/>
        </w:rPr>
        <w:t>2005</w:t>
      </w:r>
      <w:r>
        <w:rPr>
          <w:rFonts w:ascii="Times New Roman" w:hAnsi="Times New Roman"/>
          <w:sz w:val="28"/>
          <w:szCs w:val="28"/>
        </w:rPr>
        <w:t>.</w:t>
      </w:r>
    </w:p>
    <w:p w:rsidR="002E3CD9" w:rsidRPr="00CD1524" w:rsidRDefault="002E3CD9" w:rsidP="002E3CD9">
      <w:pPr>
        <w:spacing w:before="120" w:after="0"/>
        <w:ind w:firstLine="720"/>
        <w:jc w:val="both"/>
        <w:rPr>
          <w:rFonts w:ascii="Times New Roman" w:hAnsi="Times New Roman"/>
          <w:sz w:val="28"/>
          <w:szCs w:val="28"/>
        </w:rPr>
      </w:pPr>
      <w:r>
        <w:rPr>
          <w:rFonts w:ascii="Times New Roman" w:hAnsi="Times New Roman"/>
          <w:sz w:val="28"/>
          <w:szCs w:val="28"/>
        </w:rPr>
        <w:t>- Trung Quốc có nhiều chính sách sử dụng ngân sách nhà nước (cả Trung ương và địa phương) hỗ trợ người dân tham gia BHXH tự nguyện để mở rộng diện bao phủ BHXH: (i) T</w:t>
      </w:r>
      <w:r w:rsidRPr="002E3CD9">
        <w:rPr>
          <w:rFonts w:ascii="Times New Roman" w:hAnsi="Times New Roman"/>
          <w:sz w:val="28"/>
          <w:szCs w:val="28"/>
        </w:rPr>
        <w:t>rợ cấp mức đóng tối thiểu cho người nghèo nhất (khoảng 2% người trong độ tuổi lao động)</w:t>
      </w:r>
      <w:r>
        <w:rPr>
          <w:rFonts w:ascii="Times New Roman" w:hAnsi="Times New Roman"/>
          <w:sz w:val="28"/>
          <w:szCs w:val="28"/>
        </w:rPr>
        <w:t>; (ii) C</w:t>
      </w:r>
      <w:r w:rsidRPr="002E3CD9">
        <w:rPr>
          <w:rFonts w:ascii="Times New Roman" w:hAnsi="Times New Roman"/>
          <w:sz w:val="28"/>
          <w:szCs w:val="28"/>
        </w:rPr>
        <w:t>hính quyền trung ương hỗ trợ theo tỷ lệ 1:3 nhưng giảm dần với mức đóng cao hơn</w:t>
      </w:r>
      <w:r>
        <w:rPr>
          <w:rFonts w:ascii="Times New Roman" w:hAnsi="Times New Roman"/>
          <w:sz w:val="28"/>
          <w:szCs w:val="28"/>
        </w:rPr>
        <w:t xml:space="preserve">; (iii) </w:t>
      </w:r>
      <w:r w:rsidRPr="002E3CD9">
        <w:rPr>
          <w:rFonts w:ascii="Times New Roman" w:hAnsi="Times New Roman"/>
          <w:sz w:val="28"/>
          <w:szCs w:val="28"/>
        </w:rPr>
        <w:t>Tùy vào ngân sách của tỉnh mà các tỉnh sẽ có mức hỗ trợ</w:t>
      </w:r>
      <w:r>
        <w:rPr>
          <w:rFonts w:ascii="Times New Roman" w:hAnsi="Times New Roman"/>
          <w:sz w:val="28"/>
          <w:szCs w:val="28"/>
        </w:rPr>
        <w:t xml:space="preserve"> khác nhau; (iv) </w:t>
      </w:r>
      <w:r w:rsidRPr="002E3CD9">
        <w:rPr>
          <w:rFonts w:ascii="Times New Roman" w:hAnsi="Times New Roman"/>
          <w:sz w:val="28"/>
          <w:szCs w:val="28"/>
        </w:rPr>
        <w:t>Hỗ trợ lương hưu cơ bản cho người từ 60</w:t>
      </w:r>
      <w:r>
        <w:rPr>
          <w:rFonts w:ascii="Times New Roman" w:hAnsi="Times New Roman"/>
          <w:sz w:val="28"/>
          <w:szCs w:val="28"/>
        </w:rPr>
        <w:t xml:space="preserve"> tuổi trở lên</w:t>
      </w:r>
      <w:r w:rsidRPr="002E3CD9">
        <w:rPr>
          <w:rFonts w:ascii="Times New Roman" w:hAnsi="Times New Roman"/>
          <w:sz w:val="28"/>
          <w:szCs w:val="28"/>
        </w:rPr>
        <w:t xml:space="preserve"> tại thời điểm cải cách hoặc đóng từ 15</w:t>
      </w:r>
      <w:r>
        <w:rPr>
          <w:rFonts w:ascii="Times New Roman" w:hAnsi="Times New Roman"/>
          <w:sz w:val="28"/>
          <w:szCs w:val="28"/>
        </w:rPr>
        <w:t xml:space="preserve"> năm</w:t>
      </w:r>
      <w:r w:rsidRPr="002E3CD9">
        <w:rPr>
          <w:rFonts w:ascii="Times New Roman" w:hAnsi="Times New Roman"/>
          <w:sz w:val="28"/>
          <w:szCs w:val="28"/>
        </w:rPr>
        <w:t xml:space="preserve"> trở lên từ sau 2010</w:t>
      </w:r>
      <w:r>
        <w:rPr>
          <w:rFonts w:ascii="Times New Roman" w:hAnsi="Times New Roman"/>
          <w:sz w:val="28"/>
          <w:szCs w:val="28"/>
        </w:rPr>
        <w:t xml:space="preserve">; (v) </w:t>
      </w:r>
      <w:r w:rsidRPr="002E3CD9">
        <w:rPr>
          <w:rFonts w:ascii="Times New Roman" w:hAnsi="Times New Roman"/>
          <w:sz w:val="28"/>
          <w:szCs w:val="28"/>
        </w:rPr>
        <w:t>Chính sách hỗ trợ lương hưu cơ bản cho người dân ở nông thân từ 60 tuổi từ năm 2010</w:t>
      </w:r>
      <w:r>
        <w:rPr>
          <w:rFonts w:ascii="Times New Roman" w:hAnsi="Times New Roman"/>
          <w:sz w:val="28"/>
          <w:szCs w:val="28"/>
        </w:rPr>
        <w:t>.</w:t>
      </w:r>
    </w:p>
    <w:p w:rsidR="00D55380" w:rsidRPr="00CD1524" w:rsidRDefault="00D55380" w:rsidP="00CD1524">
      <w:pPr>
        <w:spacing w:before="120" w:after="0"/>
        <w:ind w:firstLine="720"/>
        <w:jc w:val="both"/>
        <w:rPr>
          <w:rFonts w:ascii="Times New Roman" w:hAnsi="Times New Roman"/>
          <w:sz w:val="28"/>
          <w:szCs w:val="28"/>
        </w:rPr>
      </w:pPr>
      <w:r w:rsidRPr="00CD1524">
        <w:rPr>
          <w:rFonts w:ascii="Times New Roman" w:hAnsi="Times New Roman"/>
          <w:sz w:val="28"/>
          <w:szCs w:val="28"/>
        </w:rPr>
        <w:t>- Mở rộng</w:t>
      </w:r>
      <w:r w:rsidR="003C7644" w:rsidRPr="00CD1524">
        <w:rPr>
          <w:rFonts w:ascii="Times New Roman" w:hAnsi="Times New Roman"/>
          <w:sz w:val="28"/>
          <w:szCs w:val="28"/>
        </w:rPr>
        <w:t xml:space="preserve"> diện bao phủ đối tượng hưởng trợ cấp hưu trí</w:t>
      </w:r>
      <w:r w:rsidRPr="00CD1524">
        <w:rPr>
          <w:rFonts w:ascii="Times New Roman" w:hAnsi="Times New Roman"/>
          <w:sz w:val="28"/>
          <w:szCs w:val="28"/>
        </w:rPr>
        <w:t xml:space="preserve"> xã hội</w:t>
      </w:r>
      <w:r w:rsidR="003C7644" w:rsidRPr="00CD1524">
        <w:rPr>
          <w:rFonts w:ascii="Times New Roman" w:hAnsi="Times New Roman"/>
          <w:sz w:val="28"/>
          <w:szCs w:val="28"/>
        </w:rPr>
        <w:t xml:space="preserve"> </w:t>
      </w:r>
      <w:r w:rsidRPr="00CD1524">
        <w:rPr>
          <w:rFonts w:ascii="Times New Roman" w:hAnsi="Times New Roman"/>
          <w:sz w:val="28"/>
          <w:szCs w:val="28"/>
        </w:rPr>
        <w:t>(Mở rộng diện người cao tuổi trên 70 tuổi được hưởng lương hưu xã hội);</w:t>
      </w:r>
    </w:p>
    <w:p w:rsidR="00CD1524" w:rsidRPr="00CD1524" w:rsidRDefault="00D55380" w:rsidP="00CD1524">
      <w:pPr>
        <w:spacing w:before="120" w:after="0"/>
        <w:ind w:firstLine="720"/>
        <w:jc w:val="both"/>
        <w:rPr>
          <w:rFonts w:ascii="Times New Roman" w:hAnsi="Times New Roman"/>
          <w:sz w:val="28"/>
          <w:szCs w:val="28"/>
        </w:rPr>
      </w:pPr>
      <w:r w:rsidRPr="00CD1524">
        <w:rPr>
          <w:rFonts w:ascii="Times New Roman" w:hAnsi="Times New Roman"/>
          <w:sz w:val="28"/>
          <w:szCs w:val="28"/>
        </w:rPr>
        <w:t>- Tăng cường công tác thanh tra, kiểm tra việc chấp hành chính sách, pháp luật về BHXH để đảm bảo tính tuân thủ trong việc tham gia BHXH của các doanh nghiệp. Kiên quyết xử lý nghiêm đối với các trường hợp cố tình vi phạm pháp luật về BHXH</w:t>
      </w:r>
      <w:r w:rsidR="00CD1524" w:rsidRPr="00CD1524">
        <w:rPr>
          <w:rFonts w:ascii="Times New Roman" w:hAnsi="Times New Roman"/>
          <w:sz w:val="28"/>
          <w:szCs w:val="28"/>
        </w:rPr>
        <w:t>.</w:t>
      </w:r>
    </w:p>
    <w:p w:rsidR="00D55380" w:rsidRPr="00CD1524" w:rsidRDefault="00D55380" w:rsidP="00CD1524">
      <w:pPr>
        <w:spacing w:before="120" w:after="0"/>
        <w:ind w:firstLine="720"/>
        <w:jc w:val="both"/>
        <w:rPr>
          <w:rFonts w:ascii="Times New Roman" w:hAnsi="Times New Roman"/>
          <w:sz w:val="28"/>
          <w:szCs w:val="28"/>
        </w:rPr>
      </w:pPr>
      <w:r w:rsidRPr="00CD1524">
        <w:rPr>
          <w:rFonts w:ascii="Times New Roman" w:hAnsi="Times New Roman"/>
          <w:sz w:val="28"/>
          <w:szCs w:val="28"/>
        </w:rPr>
        <w:t>- Về công tác thông tin, truyền thông về chính sách BHXH, cần triển khai các hoạt động phổ biến pháp luật thông qua thông tin đại chúng, thông qua nhiều kênh khác nhau để phổ biến kiến thức đến người lao động về quyền lợi khi tham gia lao động</w:t>
      </w:r>
      <w:r w:rsidR="00CD1524" w:rsidRPr="00CD1524">
        <w:rPr>
          <w:rFonts w:ascii="Times New Roman" w:hAnsi="Times New Roman"/>
          <w:sz w:val="28"/>
          <w:szCs w:val="28"/>
        </w:rPr>
        <w:t>. T</w:t>
      </w:r>
      <w:r w:rsidRPr="00CD1524">
        <w:rPr>
          <w:rFonts w:ascii="Times New Roman" w:hAnsi="Times New Roman"/>
          <w:sz w:val="28"/>
          <w:szCs w:val="28"/>
        </w:rPr>
        <w:t xml:space="preserve">rao quyền giám sát thực thi chính sách BHXH trực tiếp cho người </w:t>
      </w:r>
      <w:r w:rsidRPr="00CD1524">
        <w:rPr>
          <w:rFonts w:ascii="Times New Roman" w:hAnsi="Times New Roman"/>
          <w:sz w:val="28"/>
          <w:szCs w:val="28"/>
        </w:rPr>
        <w:lastRenderedPageBreak/>
        <w:t xml:space="preserve">lao động. Khi người sử dụng lao động không đóng BHXH cho người lao động thì người lao động sẽ có cơ chế phản ánh với cơ quan Nhà nước. </w:t>
      </w:r>
    </w:p>
    <w:p w:rsidR="00CD1524" w:rsidRDefault="00CD1524" w:rsidP="00CD1524">
      <w:pPr>
        <w:spacing w:before="120" w:after="0"/>
        <w:ind w:firstLine="720"/>
        <w:jc w:val="both"/>
        <w:rPr>
          <w:rFonts w:ascii="Times New Roman" w:hAnsi="Times New Roman"/>
          <w:sz w:val="28"/>
          <w:szCs w:val="28"/>
        </w:rPr>
      </w:pPr>
      <w:r w:rsidRPr="00CD1524">
        <w:rPr>
          <w:rFonts w:ascii="Times New Roman" w:hAnsi="Times New Roman"/>
          <w:sz w:val="28"/>
          <w:szCs w:val="28"/>
        </w:rPr>
        <w:t>- Gắn trách nhiệm cơ quan tổ chức thực hiện chính sách BHXH đặc biệt trong việc nhận diện, quản lý chặt chẽ đối tượng tham gia BHXH. Kịp thời, chủ động phát hiện tình trạng trốn đóng để thời gian trốn đóng, số tiền trốn đóng luôn ở mức thấp nhất.</w:t>
      </w:r>
    </w:p>
    <w:p w:rsidR="00971474" w:rsidRDefault="00971474" w:rsidP="00CD1524">
      <w:pPr>
        <w:spacing w:before="120" w:after="0"/>
        <w:ind w:firstLine="720"/>
        <w:jc w:val="both"/>
        <w:rPr>
          <w:rFonts w:ascii="Times New Roman" w:hAnsi="Times New Roman"/>
          <w:sz w:val="28"/>
          <w:szCs w:val="28"/>
        </w:rPr>
      </w:pPr>
      <w:r>
        <w:rPr>
          <w:rFonts w:ascii="Times New Roman" w:hAnsi="Times New Roman"/>
          <w:sz w:val="28"/>
          <w:szCs w:val="28"/>
        </w:rPr>
        <w:t>- Tổng hợp kinh phí ngân sách nhà nước dành hỗ trợ người dân tham gia BHXH tự nguyện và kết quả mở rộng diện bao phủ BHXH</w:t>
      </w:r>
      <w:r>
        <w:rPr>
          <w:rStyle w:val="FootnoteReference"/>
          <w:rFonts w:ascii="Times New Roman" w:hAnsi="Times New Roman"/>
          <w:sz w:val="28"/>
          <w:szCs w:val="28"/>
        </w:rPr>
        <w:footnoteReference w:id="7"/>
      </w:r>
      <w:r>
        <w:rPr>
          <w:rFonts w:ascii="Times New Roman" w:hAnsi="Times New Roman"/>
          <w:sz w:val="28"/>
          <w:szCs w:val="28"/>
        </w:rPr>
        <w:t>:</w:t>
      </w:r>
    </w:p>
    <w:p w:rsidR="00971474" w:rsidRPr="00971474" w:rsidRDefault="00971474" w:rsidP="00971474">
      <w:pPr>
        <w:spacing w:before="120" w:after="0"/>
        <w:ind w:firstLine="720"/>
        <w:jc w:val="both"/>
        <w:rPr>
          <w:rFonts w:ascii="Times New Roman" w:hAnsi="Times New Roman"/>
          <w:sz w:val="28"/>
          <w:szCs w:val="28"/>
        </w:rPr>
      </w:pPr>
      <w:r>
        <w:rPr>
          <w:rFonts w:ascii="Times New Roman" w:hAnsi="Times New Roman"/>
          <w:sz w:val="28"/>
          <w:szCs w:val="28"/>
        </w:rPr>
        <w:t xml:space="preserve">+ </w:t>
      </w:r>
      <w:r w:rsidRPr="00971474">
        <w:rPr>
          <w:rFonts w:ascii="Times New Roman" w:hAnsi="Times New Roman"/>
          <w:sz w:val="28"/>
          <w:szCs w:val="28"/>
        </w:rPr>
        <w:t xml:space="preserve">Chương trình lương hưu cho lao động phi chính thức PMSMY của Ấn Độ – trợ cấp mức đóng 82%; </w:t>
      </w:r>
      <w:r>
        <w:rPr>
          <w:rFonts w:ascii="Times New Roman" w:hAnsi="Times New Roman"/>
          <w:sz w:val="28"/>
          <w:szCs w:val="28"/>
        </w:rPr>
        <w:t>đ</w:t>
      </w:r>
      <w:r w:rsidRPr="00971474">
        <w:rPr>
          <w:rFonts w:ascii="Times New Roman" w:hAnsi="Times New Roman"/>
          <w:sz w:val="28"/>
          <w:szCs w:val="28"/>
        </w:rPr>
        <w:t>ộ bao phủ</w:t>
      </w:r>
      <w:r>
        <w:rPr>
          <w:rFonts w:ascii="Times New Roman" w:hAnsi="Times New Roman"/>
          <w:sz w:val="28"/>
          <w:szCs w:val="28"/>
        </w:rPr>
        <w:t xml:space="preserve"> BHXH tự nguyện là</w:t>
      </w:r>
      <w:r w:rsidRPr="00971474">
        <w:rPr>
          <w:rFonts w:ascii="Times New Roman" w:hAnsi="Times New Roman"/>
          <w:sz w:val="28"/>
          <w:szCs w:val="28"/>
        </w:rPr>
        <w:t xml:space="preserve"> 5,3% dân số trong độ tuổi lao độ</w:t>
      </w:r>
      <w:r>
        <w:rPr>
          <w:rFonts w:ascii="Times New Roman" w:hAnsi="Times New Roman"/>
          <w:sz w:val="28"/>
          <w:szCs w:val="28"/>
        </w:rPr>
        <w:t>ng;</w:t>
      </w:r>
    </w:p>
    <w:p w:rsidR="00971474" w:rsidRPr="00971474" w:rsidRDefault="00971474" w:rsidP="00971474">
      <w:pPr>
        <w:spacing w:before="120" w:after="0"/>
        <w:ind w:firstLine="720"/>
        <w:jc w:val="both"/>
        <w:rPr>
          <w:rFonts w:ascii="Times New Roman" w:hAnsi="Times New Roman"/>
          <w:sz w:val="28"/>
          <w:szCs w:val="28"/>
        </w:rPr>
      </w:pPr>
      <w:r>
        <w:rPr>
          <w:rFonts w:ascii="Times New Roman" w:hAnsi="Times New Roman"/>
          <w:sz w:val="28"/>
          <w:szCs w:val="28"/>
        </w:rPr>
        <w:t xml:space="preserve">+ </w:t>
      </w:r>
      <w:r w:rsidRPr="00971474">
        <w:rPr>
          <w:rFonts w:ascii="Times New Roman" w:hAnsi="Times New Roman"/>
          <w:sz w:val="28"/>
          <w:szCs w:val="28"/>
        </w:rPr>
        <w:t xml:space="preserve">Trung Quốc: hỗ trợ mức đóng 57%; </w:t>
      </w:r>
      <w:r>
        <w:rPr>
          <w:rFonts w:ascii="Times New Roman" w:hAnsi="Times New Roman"/>
          <w:sz w:val="28"/>
          <w:szCs w:val="28"/>
        </w:rPr>
        <w:t xml:space="preserve">độ bao phủ BHXH tự nguyện là </w:t>
      </w:r>
      <w:r w:rsidRPr="00971474">
        <w:rPr>
          <w:rFonts w:ascii="Times New Roman" w:hAnsi="Times New Roman"/>
          <w:sz w:val="28"/>
          <w:szCs w:val="28"/>
        </w:rPr>
        <w:t>38% dân số trong độ tuổi lao động</w:t>
      </w:r>
      <w:r>
        <w:rPr>
          <w:rFonts w:ascii="Times New Roman" w:hAnsi="Times New Roman"/>
          <w:sz w:val="28"/>
          <w:szCs w:val="28"/>
        </w:rPr>
        <w:t>;</w:t>
      </w:r>
    </w:p>
    <w:p w:rsidR="00971474" w:rsidRPr="00971474" w:rsidRDefault="00971474" w:rsidP="00971474">
      <w:pPr>
        <w:spacing w:before="120" w:after="0"/>
        <w:ind w:firstLine="720"/>
        <w:jc w:val="both"/>
        <w:rPr>
          <w:rFonts w:ascii="Times New Roman" w:hAnsi="Times New Roman"/>
          <w:sz w:val="28"/>
          <w:szCs w:val="28"/>
        </w:rPr>
      </w:pPr>
      <w:r>
        <w:rPr>
          <w:rFonts w:ascii="Times New Roman" w:hAnsi="Times New Roman"/>
          <w:sz w:val="28"/>
          <w:szCs w:val="28"/>
        </w:rPr>
        <w:t xml:space="preserve">+ </w:t>
      </w:r>
      <w:r w:rsidRPr="00971474">
        <w:rPr>
          <w:rFonts w:ascii="Times New Roman" w:hAnsi="Times New Roman"/>
          <w:sz w:val="28"/>
          <w:szCs w:val="28"/>
        </w:rPr>
        <w:t>Thái Lan</w:t>
      </w:r>
      <w:r>
        <w:rPr>
          <w:rFonts w:ascii="Times New Roman" w:hAnsi="Times New Roman"/>
          <w:sz w:val="28"/>
          <w:szCs w:val="28"/>
        </w:rPr>
        <w:t xml:space="preserve"> mức hỗ trợ đóng BHXH tự nguyện </w:t>
      </w:r>
      <w:r w:rsidRPr="00971474">
        <w:rPr>
          <w:rFonts w:ascii="Times New Roman" w:hAnsi="Times New Roman"/>
          <w:sz w:val="28"/>
          <w:szCs w:val="28"/>
        </w:rPr>
        <w:t xml:space="preserve">50 % cho người thu nhập thấp và 42% trợ cấp cho các đối tượng khác; </w:t>
      </w:r>
      <w:r>
        <w:rPr>
          <w:rFonts w:ascii="Times New Roman" w:hAnsi="Times New Roman"/>
          <w:sz w:val="28"/>
          <w:szCs w:val="28"/>
        </w:rPr>
        <w:t xml:space="preserve">độ bao phủ BHXH tự nguyện là </w:t>
      </w:r>
      <w:r w:rsidRPr="00971474">
        <w:rPr>
          <w:rFonts w:ascii="Times New Roman" w:hAnsi="Times New Roman"/>
          <w:sz w:val="28"/>
          <w:szCs w:val="28"/>
        </w:rPr>
        <w:t>12% trong độ tuổi lao động</w:t>
      </w:r>
    </w:p>
    <w:p w:rsidR="00971474" w:rsidRPr="00CD1524" w:rsidRDefault="00971474" w:rsidP="00971474">
      <w:pPr>
        <w:spacing w:before="120" w:after="0"/>
        <w:ind w:firstLine="720"/>
        <w:jc w:val="both"/>
        <w:rPr>
          <w:rFonts w:ascii="Times New Roman" w:hAnsi="Times New Roman"/>
          <w:sz w:val="28"/>
          <w:szCs w:val="28"/>
        </w:rPr>
      </w:pPr>
      <w:r>
        <w:rPr>
          <w:rFonts w:ascii="Times New Roman" w:hAnsi="Times New Roman"/>
          <w:sz w:val="28"/>
          <w:szCs w:val="28"/>
        </w:rPr>
        <w:t xml:space="preserve">+ </w:t>
      </w:r>
      <w:r w:rsidRPr="00971474">
        <w:rPr>
          <w:rFonts w:ascii="Times New Roman" w:hAnsi="Times New Roman"/>
          <w:sz w:val="28"/>
          <w:szCs w:val="28"/>
        </w:rPr>
        <w:t>R</w:t>
      </w:r>
      <w:r>
        <w:rPr>
          <w:rFonts w:ascii="Times New Roman" w:hAnsi="Times New Roman"/>
          <w:sz w:val="28"/>
          <w:szCs w:val="28"/>
        </w:rPr>
        <w:t>u</w:t>
      </w:r>
      <w:r w:rsidRPr="00971474">
        <w:rPr>
          <w:rFonts w:ascii="Times New Roman" w:hAnsi="Times New Roman"/>
          <w:sz w:val="28"/>
          <w:szCs w:val="28"/>
        </w:rPr>
        <w:t>wanda</w:t>
      </w:r>
      <w:r>
        <w:rPr>
          <w:rFonts w:ascii="Times New Roman" w:hAnsi="Times New Roman"/>
          <w:sz w:val="28"/>
          <w:szCs w:val="28"/>
        </w:rPr>
        <w:t xml:space="preserve"> mức hỗ trợ đóng BHXH tự nguyện</w:t>
      </w:r>
      <w:r w:rsidRPr="00971474">
        <w:rPr>
          <w:rFonts w:ascii="Times New Roman" w:hAnsi="Times New Roman"/>
          <w:sz w:val="28"/>
          <w:szCs w:val="28"/>
        </w:rPr>
        <w:t xml:space="preserve"> 100% cho người có thu nhập thấp; 50% cho đối tượng khác; </w:t>
      </w:r>
      <w:r>
        <w:rPr>
          <w:rFonts w:ascii="Times New Roman" w:hAnsi="Times New Roman"/>
          <w:sz w:val="28"/>
          <w:szCs w:val="28"/>
        </w:rPr>
        <w:t xml:space="preserve">độ bao phủ BHXH tự nguyện là </w:t>
      </w:r>
      <w:r w:rsidRPr="00971474">
        <w:rPr>
          <w:rFonts w:ascii="Times New Roman" w:hAnsi="Times New Roman"/>
          <w:sz w:val="28"/>
          <w:szCs w:val="28"/>
        </w:rPr>
        <w:t>35% trong độ tuổi lao động</w:t>
      </w:r>
      <w:r>
        <w:rPr>
          <w:rFonts w:ascii="Times New Roman" w:hAnsi="Times New Roman"/>
          <w:sz w:val="28"/>
          <w:szCs w:val="28"/>
        </w:rPr>
        <w:t>.</w:t>
      </w:r>
    </w:p>
    <w:p w:rsidR="003609FB" w:rsidRPr="00CD1524" w:rsidRDefault="00CD1524" w:rsidP="00CD1524">
      <w:pPr>
        <w:spacing w:before="120" w:after="0"/>
        <w:ind w:firstLine="720"/>
        <w:jc w:val="both"/>
        <w:rPr>
          <w:rFonts w:asciiTheme="majorHAnsi" w:hAnsiTheme="majorHAnsi" w:cstheme="majorHAnsi"/>
          <w:b/>
          <w:color w:val="000000" w:themeColor="text1"/>
          <w:sz w:val="28"/>
          <w:szCs w:val="28"/>
        </w:rPr>
      </w:pPr>
      <w:r w:rsidRPr="00CD1524">
        <w:rPr>
          <w:rFonts w:ascii="Times New Roman" w:hAnsi="Times New Roman"/>
          <w:b/>
          <w:sz w:val="28"/>
          <w:szCs w:val="28"/>
        </w:rPr>
        <w:t xml:space="preserve">2. </w:t>
      </w:r>
      <w:r w:rsidR="003609FB" w:rsidRPr="00CD1524">
        <w:rPr>
          <w:rFonts w:asciiTheme="majorHAnsi" w:hAnsiTheme="majorHAnsi" w:cstheme="majorHAnsi"/>
          <w:b/>
          <w:color w:val="000000" w:themeColor="text1"/>
          <w:sz w:val="28"/>
          <w:szCs w:val="28"/>
        </w:rPr>
        <w:t>Một số kinh nghiệm liên quan của ASEAN về mở rộng diện bao phủ</w:t>
      </w:r>
    </w:p>
    <w:p w:rsidR="003609FB" w:rsidRPr="00CD1524" w:rsidRDefault="001473E4" w:rsidP="00CD1524">
      <w:pPr>
        <w:pStyle w:val="Heading3"/>
        <w:spacing w:before="120" w:line="276" w:lineRule="auto"/>
        <w:ind w:firstLine="720"/>
        <w:jc w:val="both"/>
        <w:rPr>
          <w:rFonts w:cstheme="majorHAnsi"/>
          <w:b/>
          <w:i/>
          <w:color w:val="000000" w:themeColor="text1"/>
          <w:sz w:val="28"/>
          <w:szCs w:val="28"/>
        </w:rPr>
      </w:pPr>
      <w:bookmarkStart w:id="2" w:name="_Toc491508932"/>
      <w:r>
        <w:rPr>
          <w:rFonts w:cstheme="majorHAnsi"/>
          <w:b/>
          <w:i/>
          <w:color w:val="000000" w:themeColor="text1"/>
          <w:sz w:val="28"/>
          <w:szCs w:val="28"/>
        </w:rPr>
        <w:t>2.1.</w:t>
      </w:r>
      <w:r w:rsidR="00CD1524" w:rsidRPr="00CD1524">
        <w:rPr>
          <w:rFonts w:cstheme="majorHAnsi"/>
          <w:b/>
          <w:i/>
          <w:color w:val="000000" w:themeColor="text1"/>
          <w:sz w:val="28"/>
          <w:szCs w:val="28"/>
        </w:rPr>
        <w:t xml:space="preserve"> </w:t>
      </w:r>
      <w:r w:rsidR="003609FB" w:rsidRPr="00CD1524">
        <w:rPr>
          <w:rFonts w:cstheme="majorHAnsi"/>
          <w:b/>
          <w:i/>
          <w:color w:val="000000" w:themeColor="text1"/>
          <w:sz w:val="28"/>
          <w:szCs w:val="28"/>
        </w:rPr>
        <w:t>Tiến hành cải cách pháp lý và chính sách để mở rộng diện bao phủ BHXH nói riêng và diện bao phủ ASXH nói chung</w:t>
      </w:r>
      <w:bookmarkEnd w:id="2"/>
    </w:p>
    <w:p w:rsidR="003609FB" w:rsidRPr="00CD1524"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rPr>
        <w:t>Để các chế độ ASXH bao trùm được phạm vi rộng hơn số dân hoặc lực lượng lao động, nhiều quố</w:t>
      </w:r>
      <w:r w:rsidR="00AE16CD">
        <w:rPr>
          <w:rFonts w:asciiTheme="majorHAnsi" w:hAnsiTheme="majorHAnsi" w:cstheme="majorHAnsi"/>
          <w:color w:val="000000" w:themeColor="text1"/>
          <w:sz w:val="28"/>
          <w:szCs w:val="28"/>
        </w:rPr>
        <w:t xml:space="preserve">c gia Đông Nam </w:t>
      </w:r>
      <w:r w:rsidRPr="00CD1524">
        <w:rPr>
          <w:rFonts w:asciiTheme="majorHAnsi" w:hAnsiTheme="majorHAnsi" w:cstheme="majorHAnsi"/>
          <w:color w:val="000000" w:themeColor="text1"/>
          <w:sz w:val="28"/>
          <w:szCs w:val="28"/>
        </w:rPr>
        <w:t xml:space="preserve">Á (ASEAN) đã tiến hành các cuộc cải cách về pháp lý và chính sách. </w:t>
      </w:r>
    </w:p>
    <w:p w:rsidR="003609FB" w:rsidRPr="00CD1524"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rPr>
        <w:t>Ở Xing-ga-po, vào tháng 11 năm 2015, chế độ bảo hiểm y tế xã hội Medishield đã được thay thế bằng chế độ bao phủ “toàn dân” - Medishield Life. Chế độ bảo hiểm mới này có các khoản trợ cấp của Chính phủ để đảm bảo rằng tất cả công dân và cư dân thường trú tại Xing-ga-po, đặc biệt là những hộ gia đình có thu nhập thấp, và những người trước đây không có đủ điều kiện để trở thành đối tượng thuộc diện bao phủ trong chương trình Medishield trước đó (Ministry of Health of Singapore, 2015)</w:t>
      </w:r>
      <w:r w:rsidRPr="00CD1524">
        <w:rPr>
          <w:rStyle w:val="FootnoteReference"/>
          <w:rFonts w:asciiTheme="majorHAnsi" w:hAnsiTheme="majorHAnsi" w:cstheme="majorHAnsi"/>
          <w:color w:val="000000" w:themeColor="text1"/>
          <w:sz w:val="28"/>
          <w:szCs w:val="28"/>
        </w:rPr>
        <w:footnoteReference w:id="8"/>
      </w:r>
      <w:r w:rsidRPr="00CD1524">
        <w:rPr>
          <w:rFonts w:asciiTheme="majorHAnsi" w:hAnsiTheme="majorHAnsi" w:cstheme="majorHAnsi"/>
          <w:color w:val="000000" w:themeColor="text1"/>
          <w:sz w:val="28"/>
          <w:szCs w:val="28"/>
        </w:rPr>
        <w:t xml:space="preserve">. Mở rộng diện bao phủ gắn liền với cải cách các chế độ không mang tính chất đóng góp, chẳng hạn như, hạ thấp tuổi hợp lệ được </w:t>
      </w:r>
      <w:r w:rsidRPr="00CD1524">
        <w:rPr>
          <w:rFonts w:asciiTheme="majorHAnsi" w:hAnsiTheme="majorHAnsi" w:cstheme="majorHAnsi"/>
          <w:color w:val="000000" w:themeColor="text1"/>
          <w:sz w:val="28"/>
          <w:szCs w:val="28"/>
        </w:rPr>
        <w:lastRenderedPageBreak/>
        <w:t>nhận lương hưu từ nguồn trợ cấp từ thuế từ 77 tuổi xuống còn 65 tuổi ở Phi-lip-pin năm 2015 (Bộ Phúc lợi Xã hội và Phát triển của Phi-lip-pin, 2015). Các trường hợp ngoại lệ trong diện bao phủ BHXH bắt buộc trong khu vực kinh tế chính thức vẫn còn khá phổ biến ở các nước ASEAN, dù liên quan đến người lao động làm việc theo hợp đồng ngắn hạn (ít hơn 3 tháng ở Việt Nam tính đến 31 tháng 12 năm 2017), lao động trong các doanh nghiệp nhỏ (doanh nghiệp có ít hơn 8 nhân công ở Căm-pu-chia hoặc doanh nghiệp nhỏ có ít hơn 5 nhân công ở Mi-an-ma), hoặc lao động ngoài các ngành nghề thủ công hưởng mức lương xấp xỉ ngưỡng lương tối thiểu (thu nhập hàng tháng trên MYR3.000 tại Ma-lai-xi-a). Đây là những đối tượng ở vị trí lân cận với ranh giới dành cho các đối tượng được bao phủ. Mặc dù không được bao phủ nhưng họ là những đối tượng có khả năng cao phải chịu tổn thương trước các rủi ro về thu nhập, sức khỏe và an toàn. Tỷ trọng nhóm đối tượng này càng lớn thì độ chênh lệch giữa diện bao phủ pháp lý (legal coverage) và diện bao phủ hiệu lực thực tế (effective coverage) của các chế độ BHXH (9 chế độ tối thiểu) càng gia tăng, nghĩa là hiệu lực và hiệu quả của chính sách BHXH giảm. Đối mặt với thực trạng này, năm 1991, Thái Lan đã ban hành Điều Luật Bảo hiểm xã hội dành riêng cho các doanh nghiệp có từ 20 nhân công trở lên và sau đó, dần dần mở rộng diện bao phủ đến các doanh nghiệp có dưới 10 nhân công (năm 1993) và các doanh nghiệp có ít nhất 1 nhân công (năm 2002).</w:t>
      </w:r>
    </w:p>
    <w:p w:rsidR="003609FB" w:rsidRPr="00CD1524"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rPr>
        <w:t>Diện bao phủ pháp lý của một số chế độ ASXH cũng đã được mở rộng đến đối tượng người lao động tự doanh và/hoặc người làm việc trong khu vực kinh tế phi chính thức ở Bru-nây Darussalam, In-đô-nê-xi-a, CHDCND Lào, Ma-lay-xi-a, Phi-lip-pin, Xing-ga-po, Thái Lan và Việt Nam. Tuy nhiên, nhiều chế độ hiện đang đưa ra trên nền tảng các chương trình tự nguyện, khiến việc đạt được những bước tiến thực chất trong diện bao phủ thực tế rất chậm chạp</w:t>
      </w:r>
      <w:r w:rsidR="00B12B9C">
        <w:rPr>
          <w:rFonts w:asciiTheme="majorHAnsi" w:hAnsiTheme="majorHAnsi" w:cstheme="majorHAnsi"/>
          <w:color w:val="000000" w:themeColor="text1"/>
          <w:sz w:val="28"/>
          <w:szCs w:val="28"/>
        </w:rPr>
        <w:t xml:space="preserve">. </w:t>
      </w:r>
      <w:r w:rsidRPr="00CD1524">
        <w:rPr>
          <w:rFonts w:asciiTheme="majorHAnsi" w:hAnsiTheme="majorHAnsi" w:cstheme="majorHAnsi"/>
          <w:color w:val="000000" w:themeColor="text1"/>
          <w:sz w:val="28"/>
          <w:szCs w:val="28"/>
        </w:rPr>
        <w:t xml:space="preserve">Trong số người lao động tự doanh và công nhân trong khu vực kinh tế phi chính thức ở In-đô-nê-xi-a, tỷ lệ tham gia BHXH vừa thấp vừa không ổn định đã được xác định là do bản chất tự nguyện của chế độ BHXH. Và kinh nghiệm này đã trở thành khuyến cáo thận trọng trong việc xây dựng và theo đuổi các chế độ BHXH tự nguyện đối với tất cả các nhà cung cấp dịch vụ BHXH quy mô quốc gia trên thế giới (BPJS, 2017). </w:t>
      </w:r>
    </w:p>
    <w:p w:rsidR="003609FB" w:rsidRPr="00CD1524" w:rsidRDefault="001473E4" w:rsidP="00CD1524">
      <w:pPr>
        <w:pStyle w:val="Heading3"/>
        <w:spacing w:before="120" w:line="276" w:lineRule="auto"/>
        <w:ind w:firstLine="720"/>
        <w:jc w:val="both"/>
        <w:rPr>
          <w:rFonts w:cstheme="majorHAnsi"/>
          <w:b/>
          <w:i/>
          <w:color w:val="000000" w:themeColor="text1"/>
          <w:sz w:val="28"/>
          <w:szCs w:val="28"/>
        </w:rPr>
      </w:pPr>
      <w:bookmarkStart w:id="3" w:name="_Toc491508933"/>
      <w:r>
        <w:rPr>
          <w:rFonts w:cstheme="majorHAnsi"/>
          <w:b/>
          <w:i/>
          <w:color w:val="000000" w:themeColor="text1"/>
          <w:sz w:val="28"/>
          <w:szCs w:val="28"/>
        </w:rPr>
        <w:t>2.2.</w:t>
      </w:r>
      <w:r w:rsidR="00CD1524" w:rsidRPr="00CD1524">
        <w:rPr>
          <w:rFonts w:cstheme="majorHAnsi"/>
          <w:b/>
          <w:i/>
          <w:color w:val="000000" w:themeColor="text1"/>
          <w:sz w:val="28"/>
          <w:szCs w:val="28"/>
        </w:rPr>
        <w:t xml:space="preserve"> </w:t>
      </w:r>
      <w:r w:rsidR="003609FB" w:rsidRPr="00CD1524">
        <w:rPr>
          <w:rFonts w:cstheme="majorHAnsi"/>
          <w:b/>
          <w:i/>
          <w:color w:val="000000" w:themeColor="text1"/>
          <w:sz w:val="28"/>
          <w:szCs w:val="28"/>
        </w:rPr>
        <w:t>Mở rộng diện bao phủ BHXH bằng cách chính thức hóa việc làm phi chính thức</w:t>
      </w:r>
      <w:bookmarkEnd w:id="3"/>
    </w:p>
    <w:p w:rsidR="00AE16CD"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rPr>
        <w:t xml:space="preserve">Một biện pháp khác để mở rộng diện bao phủ BHXH là chính thức hóa việc làm ở khu vực phi chính thức, chủ yếu nhất vẫn là thông qua hợp đồng lao động (giả định tuân thủ đúng). </w:t>
      </w:r>
    </w:p>
    <w:p w:rsidR="003609FB" w:rsidRPr="00CD1524"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rPr>
        <w:lastRenderedPageBreak/>
        <w:t>Minh chứng cho biện pháp này là một số ví dụ ở ASEAN, trong đó chính thức hóa lao động làm công việc nội trợ</w:t>
      </w:r>
      <w:r w:rsidR="00AE16CD">
        <w:rPr>
          <w:rFonts w:asciiTheme="majorHAnsi" w:hAnsiTheme="majorHAnsi" w:cstheme="majorHAnsi"/>
          <w:color w:val="000000" w:themeColor="text1"/>
          <w:sz w:val="28"/>
          <w:szCs w:val="28"/>
        </w:rPr>
        <w:t xml:space="preserve"> </w:t>
      </w:r>
      <w:r w:rsidRPr="00CD1524">
        <w:rPr>
          <w:rFonts w:asciiTheme="majorHAnsi" w:hAnsiTheme="majorHAnsi" w:cstheme="majorHAnsi"/>
          <w:color w:val="000000" w:themeColor="text1"/>
          <w:sz w:val="28"/>
          <w:szCs w:val="28"/>
        </w:rPr>
        <w:t>ở Việt Nam và Phi-lip-pin là những kinh nghiệm tích cực. Chính phủ Phi-lip-pin đã ban hành Điều Luật Lao động Nội trợ (Batas Kasambahay) năm 2013. Đây là một trong những nỗ lực của Chính phủ nhằm chính thức hóa các quan hệ lao động giữa Chính phủ với người lao động giúp việc gia đình (nội trợ, người nấu bếp thuê, người làm vườn thuê, người giặt là quần áo thuê tại nhà</w:t>
      </w:r>
      <w:r w:rsidR="00A27141">
        <w:rPr>
          <w:rFonts w:asciiTheme="majorHAnsi" w:hAnsiTheme="majorHAnsi" w:cstheme="majorHAnsi"/>
          <w:color w:val="000000" w:themeColor="text1"/>
          <w:sz w:val="28"/>
          <w:szCs w:val="28"/>
        </w:rPr>
        <w:t>,…,</w:t>
      </w:r>
      <w:r w:rsidRPr="00CD1524">
        <w:rPr>
          <w:rFonts w:asciiTheme="majorHAnsi" w:hAnsiTheme="majorHAnsi" w:cstheme="majorHAnsi"/>
          <w:color w:val="000000" w:themeColor="text1"/>
          <w:sz w:val="28"/>
          <w:szCs w:val="28"/>
        </w:rPr>
        <w:t xml:space="preserve"> bất kỳ ai làm thuê một phần công việc nội trợ gia đình, không kể đưa đón, chăm sóc trẻ em và lái xe riêng). Theo đó, người lao động nội trợ cần đảm bảo tối thiểu 1 tháng làm việc để được ký hợp đồng và trở thành đối tượng thuộc sự điều chỉnh của pháp luật về BHXH và các chế độ bảo hiểm y tế do tổ chức PhilHealth của Phi-lip-pin cung cấp. Các khoản đóng được chia đều 50% do người sử dụng lao động đóng và 50% do người lao động nội trợ đóng, ở mức dưới PHP5,000 một tháng. Ở Việt Nam, Nghị định số 27/2014/NĐ-CP ban hành ngày 07 tháng 04 năm 2014 quy định chi tiết thi hành một số điều của Bộ Luật Lao động về lao động là người giúp việc gia đình đã công nhận giúp việc gia đình là một nghề và quy định hợp đồng bắt buộc để đảm bảo lao động giúp việc gia đình tiếp cận được đến hệ thống BHXH Việt Nam. Các quy định đối với lao động giúp việc gia đình còn đảm bảo rằng những lao động này nhận được khoản thu nhập tối thiểu phải bằng ngưỡng lương tối thiểu vùng. Các biện pháp khác để mở rộng diện bao phủ BHXH đến khu vực kinh tế phi chính thức như điều chỉnh yêu cầu mức phí đóng BHXH phù hợp với khả năng đóng của lao động làm việc trong khu vực phi chính thức và giảm chi phí tuân thủ áp dụng đối với doanh nghiệp siêu nhỏ và doanh nghiệp nhỏ đã được nêu vắn tắt trong Khuyến nghị số 204 của ILO về Chuyển đổi từ kinh tế phi chính thức sang kinh tế chính thức ban hành năm 2015.</w:t>
      </w:r>
    </w:p>
    <w:p w:rsidR="003609FB" w:rsidRPr="00CD1524" w:rsidRDefault="001473E4" w:rsidP="00CD1524">
      <w:pPr>
        <w:pStyle w:val="Heading2"/>
        <w:spacing w:before="120"/>
        <w:ind w:firstLine="720"/>
        <w:jc w:val="both"/>
        <w:rPr>
          <w:rFonts w:asciiTheme="majorHAnsi" w:hAnsiTheme="majorHAnsi" w:cstheme="majorHAnsi"/>
          <w:b/>
          <w:i/>
          <w:color w:val="000000" w:themeColor="text1"/>
          <w:sz w:val="28"/>
          <w:szCs w:val="28"/>
        </w:rPr>
      </w:pPr>
      <w:bookmarkStart w:id="4" w:name="_Toc491508934"/>
      <w:r>
        <w:rPr>
          <w:rFonts w:asciiTheme="majorHAnsi" w:hAnsiTheme="majorHAnsi" w:cstheme="majorHAnsi"/>
          <w:b/>
          <w:i/>
          <w:color w:val="000000" w:themeColor="text1"/>
          <w:sz w:val="28"/>
          <w:szCs w:val="28"/>
        </w:rPr>
        <w:t xml:space="preserve">2.3. </w:t>
      </w:r>
      <w:r w:rsidR="003609FB" w:rsidRPr="00CD1524">
        <w:rPr>
          <w:rFonts w:asciiTheme="majorHAnsi" w:hAnsiTheme="majorHAnsi" w:cstheme="majorHAnsi"/>
          <w:b/>
          <w:i/>
          <w:color w:val="000000" w:themeColor="text1"/>
          <w:sz w:val="28"/>
          <w:szCs w:val="28"/>
        </w:rPr>
        <w:t>Các phương án khả dụng để thiết kế một hệ thống hưu trí bao phủ toàn dân</w:t>
      </w:r>
      <w:bookmarkEnd w:id="4"/>
    </w:p>
    <w:p w:rsidR="003609FB" w:rsidRPr="00CD1524" w:rsidRDefault="003609FB" w:rsidP="00CD1524">
      <w:pPr>
        <w:spacing w:before="120" w:after="0"/>
        <w:ind w:firstLine="720"/>
        <w:jc w:val="both"/>
        <w:rPr>
          <w:rFonts w:asciiTheme="majorHAnsi" w:eastAsia="Times New Roman" w:hAnsiTheme="majorHAnsi" w:cstheme="majorHAnsi"/>
          <w:color w:val="000000" w:themeColor="text1"/>
          <w:sz w:val="28"/>
          <w:szCs w:val="28"/>
          <w:lang w:val="en-GB"/>
        </w:rPr>
      </w:pPr>
      <w:r w:rsidRPr="00CD1524">
        <w:rPr>
          <w:rFonts w:asciiTheme="majorHAnsi" w:hAnsiTheme="majorHAnsi" w:cstheme="majorHAnsi"/>
          <w:color w:val="000000" w:themeColor="text1"/>
          <w:sz w:val="28"/>
          <w:szCs w:val="28"/>
          <w:lang w:val="en-GB"/>
        </w:rPr>
        <w:t>Có 5 loại hình chế độ hưu trí cơ bản thưởng được kết hợp với nhau theo nhiều cách. Các loại hình đó bao gồm: (i) Chế độ hưu trí toàn dân</w:t>
      </w:r>
      <w:r w:rsidRPr="00CD1524">
        <w:rPr>
          <w:rFonts w:asciiTheme="majorHAnsi" w:eastAsia="Times New Roman" w:hAnsiTheme="majorHAnsi" w:cstheme="majorHAnsi"/>
          <w:bCs/>
          <w:color w:val="000000" w:themeColor="text1"/>
          <w:sz w:val="28"/>
          <w:szCs w:val="28"/>
          <w:lang w:val="en-GB"/>
        </w:rPr>
        <w:t>; (ii) Chế độ trợ cấp hưu trí xã hội (thường được gọi là lương hưu xã hội); (iii) Chế độ có mức hưởng xác định trước (chế độ DB), hiện đang được Việt Nam sử dụng làm trụ cột chế độ lương hưu có tính chất đóng góp; (iv) Các c</w:t>
      </w:r>
      <w:r w:rsidR="00B12B9C">
        <w:rPr>
          <w:rFonts w:asciiTheme="majorHAnsi" w:eastAsia="Times New Roman" w:hAnsiTheme="majorHAnsi" w:cstheme="majorHAnsi"/>
          <w:bCs/>
          <w:color w:val="000000" w:themeColor="text1"/>
          <w:sz w:val="28"/>
          <w:szCs w:val="28"/>
          <w:lang w:val="en-GB"/>
        </w:rPr>
        <w:t>hế độ có mức đóng xác định trước</w:t>
      </w:r>
      <w:r w:rsidRPr="00CD1524">
        <w:rPr>
          <w:rFonts w:asciiTheme="majorHAnsi" w:eastAsia="Times New Roman" w:hAnsiTheme="majorHAnsi" w:cstheme="majorHAnsi"/>
          <w:bCs/>
          <w:color w:val="000000" w:themeColor="text1"/>
          <w:sz w:val="28"/>
          <w:szCs w:val="28"/>
          <w:lang w:val="en-GB"/>
        </w:rPr>
        <w:t xml:space="preserve"> (chế độ DC), được Việt Nam sử dụng là phương án lương hưu bổ sung;</w:t>
      </w:r>
      <w:r w:rsidR="00B12B9C">
        <w:rPr>
          <w:rFonts w:asciiTheme="majorHAnsi" w:eastAsia="Times New Roman" w:hAnsiTheme="majorHAnsi" w:cstheme="majorHAnsi"/>
          <w:bCs/>
          <w:color w:val="000000" w:themeColor="text1"/>
          <w:sz w:val="28"/>
          <w:szCs w:val="28"/>
          <w:lang w:val="en-GB"/>
        </w:rPr>
        <w:t xml:space="preserve"> </w:t>
      </w:r>
      <w:r w:rsidRPr="00CD1524">
        <w:rPr>
          <w:rFonts w:asciiTheme="majorHAnsi" w:eastAsia="Times New Roman" w:hAnsiTheme="majorHAnsi" w:cstheme="majorHAnsi"/>
          <w:bCs/>
          <w:color w:val="000000" w:themeColor="text1"/>
          <w:sz w:val="28"/>
          <w:szCs w:val="28"/>
          <w:lang w:val="en-GB"/>
        </w:rPr>
        <w:t>và (v) Chế độ có mức đóng xác định trước trên danh nghĩa (chế độ tài khoản cá nhân - NDC), tuy nhiên chế độ này không thực sự phổ biến ở nhiều nước</w:t>
      </w:r>
      <w:r w:rsidRPr="00CD1524">
        <w:rPr>
          <w:rFonts w:asciiTheme="majorHAnsi" w:eastAsia="Times New Roman" w:hAnsiTheme="majorHAnsi" w:cstheme="majorHAnsi"/>
          <w:color w:val="000000" w:themeColor="text1"/>
          <w:sz w:val="28"/>
          <w:szCs w:val="28"/>
          <w:lang w:val="en-GB"/>
        </w:rPr>
        <w:t>.</w:t>
      </w:r>
      <w:r w:rsidR="00A27141">
        <w:rPr>
          <w:rFonts w:asciiTheme="majorHAnsi" w:eastAsia="Times New Roman" w:hAnsiTheme="majorHAnsi" w:cstheme="majorHAnsi"/>
          <w:color w:val="000000" w:themeColor="text1"/>
          <w:sz w:val="28"/>
          <w:szCs w:val="28"/>
          <w:lang w:val="en-GB"/>
        </w:rPr>
        <w:t xml:space="preserve"> </w:t>
      </w:r>
      <w:r w:rsidRPr="00CD1524">
        <w:rPr>
          <w:rFonts w:asciiTheme="majorHAnsi" w:hAnsiTheme="majorHAnsi" w:cstheme="majorHAnsi"/>
          <w:color w:val="000000" w:themeColor="text1"/>
          <w:sz w:val="28"/>
          <w:szCs w:val="28"/>
          <w:lang w:val="en-GB"/>
        </w:rPr>
        <w:t>Hầu hết các quốc gia trên thế giới đều kết hợp các loại hình hưu trí cơ bản theo cách này hoặc cách khác để xây dựng lên hệ thống hưu trí đa tầng cấp quốc gia.</w:t>
      </w:r>
    </w:p>
    <w:p w:rsidR="003609FB" w:rsidRPr="00CD1524"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lang w:val="en-GB"/>
        </w:rPr>
        <w:lastRenderedPageBreak/>
        <w:t>Đặc trưng của chế độ lương hưu toàn dân là trả lương hưu hàng tháng ở mức cào bằng cho tất cả những người ở độ tuổi cao hơn tuổi nghỉ hưu quy định và có thể cả đối tượng là người khuyết tật</w:t>
      </w:r>
      <w:r w:rsidRPr="00CD1524">
        <w:rPr>
          <w:rFonts w:asciiTheme="majorHAnsi" w:eastAsia="Times New Roman" w:hAnsiTheme="majorHAnsi" w:cstheme="majorHAnsi"/>
          <w:color w:val="000000" w:themeColor="text1"/>
          <w:sz w:val="28"/>
          <w:szCs w:val="28"/>
          <w:lang w:val="en-GB"/>
        </w:rPr>
        <w:t>. Chế độ này được cấp kinh phí từ ngân sách (thuế). Trong khi đó, chế độ trợ cấp lương hưu xã hội (lương hưu xã hội)</w:t>
      </w:r>
      <w:r w:rsidRPr="00CD1524">
        <w:rPr>
          <w:rFonts w:asciiTheme="majorHAnsi" w:eastAsia="Times New Roman" w:hAnsiTheme="majorHAnsi" w:cstheme="majorHAnsi"/>
          <w:bCs/>
          <w:color w:val="000000" w:themeColor="text1"/>
          <w:sz w:val="28"/>
          <w:szCs w:val="28"/>
          <w:lang w:val="en-GB"/>
        </w:rPr>
        <w:t>, về bản chất, là lương hưu toàn dân lấy từ ngân sách nhà nước (thuế) và loại lương hưu này có thể được thu hẹp trở thành chế độ lương hưu xã hội dựa trên trợ cấp hoặc lương hưu xã hội dựa trên đánh giá gia cảnh, chỉ chuyển cho người nghèo hoặc đối tượng yếu thế</w:t>
      </w:r>
      <w:r w:rsidRPr="00CD1524">
        <w:rPr>
          <w:rFonts w:asciiTheme="majorHAnsi" w:hAnsiTheme="majorHAnsi" w:cstheme="majorHAnsi"/>
          <w:color w:val="000000" w:themeColor="text1"/>
          <w:sz w:val="28"/>
          <w:szCs w:val="28"/>
          <w:lang w:val="en-GB"/>
        </w:rPr>
        <w:t>. Các chế độ này đều lấy kinh phí từ ngân sách (thuế) và cung cấp các khoản chuyển dựa trên đánh giá gia cảnh cho người già hoặc người khuyết tật</w:t>
      </w:r>
      <w:r w:rsidRPr="00CD1524">
        <w:rPr>
          <w:rFonts w:asciiTheme="majorHAnsi" w:eastAsia="Times New Roman" w:hAnsiTheme="majorHAnsi" w:cstheme="majorHAnsi"/>
          <w:color w:val="000000" w:themeColor="text1"/>
          <w:sz w:val="28"/>
          <w:szCs w:val="28"/>
          <w:lang w:val="en-GB"/>
        </w:rPr>
        <w:t>. Thông thường các chế độ này</w:t>
      </w:r>
      <w:r w:rsidR="00C67F4D">
        <w:rPr>
          <w:rFonts w:asciiTheme="majorHAnsi" w:eastAsia="Times New Roman" w:hAnsiTheme="majorHAnsi" w:cstheme="majorHAnsi"/>
          <w:color w:val="000000" w:themeColor="text1"/>
          <w:sz w:val="28"/>
          <w:szCs w:val="28"/>
          <w:lang w:val="en-GB"/>
        </w:rPr>
        <w:t xml:space="preserve"> </w:t>
      </w:r>
      <w:r w:rsidRPr="00CD1524">
        <w:rPr>
          <w:rFonts w:asciiTheme="majorHAnsi" w:eastAsia="Times New Roman" w:hAnsiTheme="majorHAnsi" w:cstheme="majorHAnsi"/>
          <w:color w:val="000000" w:themeColor="text1"/>
          <w:sz w:val="28"/>
          <w:szCs w:val="28"/>
          <w:lang w:val="en-GB"/>
        </w:rPr>
        <w:t xml:space="preserve">khép lại các khoảng cách về nghèo giữa thu nhập của những người cao tuổi hơn độ tuổi nghỉ hưu và chuẩn nghèo quốc gia. Mặt khác, lương hưu trong chế độ có các khoản hưởng xác định </w:t>
      </w:r>
      <w:r w:rsidRPr="00CD1524">
        <w:rPr>
          <w:rFonts w:asciiTheme="majorHAnsi" w:hAnsiTheme="majorHAnsi" w:cstheme="majorHAnsi"/>
          <w:color w:val="000000" w:themeColor="text1"/>
          <w:sz w:val="28"/>
          <w:szCs w:val="28"/>
          <w:lang w:val="en-GB"/>
        </w:rPr>
        <w:t xml:space="preserve">(chế độ DB) được cấp dựa trên một công thức thông thường phụ thuộc vào thu nhập cơ sở để tính bảo hiểm và số năm mà một người đã đóng góp khi còn trong độ tuổi lao động. Kinh phí cho các chế độ này thường lấy từ các khoản đóng góp bảo hiểm xã hội, như trường hợp của Việt Nam. Bên cạnh đó, chế độ có mức đóng xác định trước (chế độ DC) là chế độ mà trong đó các khoản đóng góp của người lao động được tích lũy trong các tài khoản cá nhân và được lấy ra chi trả cho người đó khi về hưu theo dạng trợ cấp hàng năm. Trong chế độ DC, trợ cấp mất sức lao động, trợ cấp góa và trợ cấp cho trẻ mồ côi phải được tính toán trên cơ sở mức hưởng xác định trước, nếu không tỷ lệ thay thế của các chế độ này sẽ quá thấp do khả năng tiết kiệm của những người này rất hạn chế trong suốt cuộc đời của họ. Thêm vào đó, còn tồn tại chế độ đóng xác định trên danh nghĩa (chế độ tài khoản cá nhân </w:t>
      </w:r>
      <w:r w:rsidR="00C67F4D">
        <w:rPr>
          <w:rFonts w:asciiTheme="majorHAnsi" w:hAnsiTheme="majorHAnsi" w:cstheme="majorHAnsi"/>
          <w:color w:val="000000" w:themeColor="text1"/>
          <w:sz w:val="28"/>
          <w:szCs w:val="28"/>
          <w:lang w:val="en-GB"/>
        </w:rPr>
        <w:t>-</w:t>
      </w:r>
      <w:r w:rsidRPr="00CD1524">
        <w:rPr>
          <w:rFonts w:asciiTheme="majorHAnsi" w:hAnsiTheme="majorHAnsi" w:cstheme="majorHAnsi"/>
          <w:color w:val="000000" w:themeColor="text1"/>
          <w:sz w:val="28"/>
          <w:szCs w:val="28"/>
          <w:lang w:val="en-GB"/>
        </w:rPr>
        <w:t xml:space="preserve"> NDC). Trong thời gian gần đây, các chế độ này được bổ sung vào cùng với các phương án lương hưu cơ bản </w:t>
      </w:r>
      <w:sdt>
        <w:sdtPr>
          <w:rPr>
            <w:rFonts w:asciiTheme="majorHAnsi" w:hAnsiTheme="majorHAnsi" w:cstheme="majorHAnsi"/>
            <w:color w:val="000000" w:themeColor="text1"/>
            <w:sz w:val="28"/>
            <w:szCs w:val="28"/>
            <w:lang w:val="en-GB"/>
          </w:rPr>
          <w:id w:val="-423040401"/>
          <w:citation/>
        </w:sdtPr>
        <w:sdtEndPr/>
        <w:sdtContent>
          <w:r w:rsidRPr="00CD1524">
            <w:rPr>
              <w:rFonts w:asciiTheme="majorHAnsi" w:hAnsiTheme="majorHAnsi" w:cstheme="majorHAnsi"/>
              <w:color w:val="000000" w:themeColor="text1"/>
              <w:sz w:val="28"/>
              <w:szCs w:val="28"/>
              <w:lang w:val="en-GB"/>
            </w:rPr>
            <w:fldChar w:fldCharType="begin"/>
          </w:r>
          <w:r w:rsidRPr="00CD1524">
            <w:rPr>
              <w:rFonts w:asciiTheme="majorHAnsi" w:hAnsiTheme="majorHAnsi" w:cstheme="majorHAnsi"/>
              <w:color w:val="000000" w:themeColor="text1"/>
              <w:sz w:val="28"/>
              <w:szCs w:val="28"/>
            </w:rPr>
            <w:instrText xml:space="preserve">CITATION Mic \l 1033 </w:instrText>
          </w:r>
          <w:r w:rsidRPr="00CD1524">
            <w:rPr>
              <w:rFonts w:asciiTheme="majorHAnsi" w:hAnsiTheme="majorHAnsi" w:cstheme="majorHAnsi"/>
              <w:color w:val="000000" w:themeColor="text1"/>
              <w:sz w:val="28"/>
              <w:szCs w:val="28"/>
              <w:lang w:val="en-GB"/>
            </w:rPr>
            <w:fldChar w:fldCharType="separate"/>
          </w:r>
          <w:r w:rsidRPr="00CD1524">
            <w:rPr>
              <w:rFonts w:asciiTheme="majorHAnsi" w:hAnsiTheme="majorHAnsi" w:cstheme="majorHAnsi"/>
              <w:noProof/>
              <w:color w:val="000000" w:themeColor="text1"/>
              <w:sz w:val="28"/>
              <w:szCs w:val="28"/>
            </w:rPr>
            <w:t>(Cichon, Peyron-Bista, Clay, &amp; nghiên_cứu_chưa_công_bố, 2017)</w:t>
          </w:r>
          <w:r w:rsidRPr="00CD1524">
            <w:rPr>
              <w:rFonts w:asciiTheme="majorHAnsi" w:hAnsiTheme="majorHAnsi" w:cstheme="majorHAnsi"/>
              <w:color w:val="000000" w:themeColor="text1"/>
              <w:sz w:val="28"/>
              <w:szCs w:val="28"/>
              <w:lang w:val="en-GB"/>
            </w:rPr>
            <w:fldChar w:fldCharType="end"/>
          </w:r>
        </w:sdtContent>
      </w:sdt>
      <w:r w:rsidRPr="00CD1524">
        <w:rPr>
          <w:rFonts w:asciiTheme="majorHAnsi" w:hAnsiTheme="majorHAnsi" w:cstheme="majorHAnsi"/>
          <w:color w:val="000000" w:themeColor="text1"/>
          <w:sz w:val="28"/>
          <w:szCs w:val="28"/>
          <w:lang w:val="en-GB"/>
        </w:rPr>
        <w:t>.</w:t>
      </w:r>
    </w:p>
    <w:p w:rsidR="003609FB" w:rsidRPr="00CD1524" w:rsidRDefault="001473E4" w:rsidP="00CD1524">
      <w:pPr>
        <w:pStyle w:val="Heading3"/>
        <w:spacing w:before="120" w:line="276" w:lineRule="auto"/>
        <w:ind w:firstLine="720"/>
        <w:jc w:val="both"/>
        <w:rPr>
          <w:rFonts w:cstheme="majorHAnsi"/>
          <w:b/>
          <w:i/>
          <w:color w:val="000000" w:themeColor="text1"/>
          <w:sz w:val="28"/>
          <w:szCs w:val="28"/>
        </w:rPr>
      </w:pPr>
      <w:bookmarkStart w:id="5" w:name="_Toc491508935"/>
      <w:r>
        <w:rPr>
          <w:rFonts w:cstheme="majorHAnsi"/>
          <w:b/>
          <w:i/>
          <w:color w:val="000000" w:themeColor="text1"/>
          <w:sz w:val="28"/>
          <w:szCs w:val="28"/>
        </w:rPr>
        <w:t>2.4.</w:t>
      </w:r>
      <w:r w:rsidR="00CD1524" w:rsidRPr="00CD1524">
        <w:rPr>
          <w:rFonts w:cstheme="majorHAnsi"/>
          <w:b/>
          <w:i/>
          <w:color w:val="000000" w:themeColor="text1"/>
          <w:sz w:val="28"/>
          <w:szCs w:val="28"/>
        </w:rPr>
        <w:t xml:space="preserve"> </w:t>
      </w:r>
      <w:r w:rsidR="003609FB" w:rsidRPr="00CD1524">
        <w:rPr>
          <w:rFonts w:cstheme="majorHAnsi"/>
          <w:b/>
          <w:i/>
          <w:color w:val="000000" w:themeColor="text1"/>
          <w:sz w:val="28"/>
          <w:szCs w:val="28"/>
        </w:rPr>
        <w:t>Cách tiếp cận đa tầng dành cho bao phủ toàn dân và các mức độ chế độ cao hơn</w:t>
      </w:r>
      <w:bookmarkEnd w:id="5"/>
    </w:p>
    <w:p w:rsidR="00CD1524"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rPr>
        <w:t>Các quốc gia đã mở rộng thành công diện bao phủ hệ thống hưu trí đã kết hợp nhiều cơ chế cấp tài chính khác nhau để giải quyết vấn đề của các nhóm khác nhau và các mục tiêu của các hệ thống hưu trí đa tầng. Tiếp cận theo hệ thống, một hệ thống đang được xây dựng bao gồm:</w:t>
      </w:r>
    </w:p>
    <w:p w:rsidR="00CD1524" w:rsidRDefault="00CD1524" w:rsidP="00CD1524">
      <w:pPr>
        <w:spacing w:before="120" w:after="0"/>
        <w:ind w:firstLine="720"/>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 </w:t>
      </w:r>
      <w:r w:rsidR="003609FB" w:rsidRPr="00CD1524">
        <w:rPr>
          <w:rFonts w:asciiTheme="majorHAnsi" w:hAnsiTheme="majorHAnsi" w:cstheme="majorHAnsi"/>
          <w:color w:val="000000" w:themeColor="text1"/>
          <w:sz w:val="28"/>
          <w:szCs w:val="28"/>
        </w:rPr>
        <w:t>Các hệ thống lương hưu toàn dân hoặc lương hưu xã hội, mặc dù được đưa giới thiệu ra ngay từ đầu giai đoạn phát triển kinh tế, tuy nhiên nhằm đến tỷ lệ bao phủ 100% dân số. Các hệ thống này phải được cấp kinh phí từ doanh thu chung. Tùy thuộc vào phương án của quốc gia mà các hệ thống này có thể bao phủ tất cả mọi người hoặc chỉ hướng đến những người không được hưởng một chế độ hưu trí nào khác (đánh giá tr</w:t>
      </w:r>
      <w:r w:rsidR="00C67F4D">
        <w:rPr>
          <w:rFonts w:asciiTheme="majorHAnsi" w:hAnsiTheme="majorHAnsi" w:cstheme="majorHAnsi"/>
          <w:color w:val="000000" w:themeColor="text1"/>
          <w:sz w:val="28"/>
          <w:szCs w:val="28"/>
        </w:rPr>
        <w:t>ợ</w:t>
      </w:r>
      <w:r w:rsidR="003609FB" w:rsidRPr="00CD1524">
        <w:rPr>
          <w:rFonts w:asciiTheme="majorHAnsi" w:hAnsiTheme="majorHAnsi" w:cstheme="majorHAnsi"/>
          <w:color w:val="000000" w:themeColor="text1"/>
          <w:sz w:val="28"/>
          <w:szCs w:val="28"/>
        </w:rPr>
        <w:t xml:space="preserve"> cấp hưu);</w:t>
      </w:r>
    </w:p>
    <w:p w:rsidR="00CD1524" w:rsidRDefault="00CD1524" w:rsidP="00CD1524">
      <w:pPr>
        <w:spacing w:before="120" w:after="0"/>
        <w:ind w:firstLine="720"/>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lastRenderedPageBreak/>
        <w:t xml:space="preserve">- </w:t>
      </w:r>
      <w:r w:rsidR="003609FB" w:rsidRPr="00CD1524">
        <w:rPr>
          <w:rFonts w:asciiTheme="majorHAnsi" w:hAnsiTheme="majorHAnsi" w:cstheme="majorHAnsi"/>
          <w:color w:val="000000" w:themeColor="text1"/>
          <w:sz w:val="28"/>
          <w:szCs w:val="28"/>
        </w:rPr>
        <w:t>Hệ thống có thể bao gồm tầng BHXH bắt buộc với cơ chế tài chính hỗ trợ một phần linh hoạt và thông minh dành cho tất cả người lao động trong khu vực kinh tế chính thức và những người lao động tương tự nhưng làm việc trong khu vực phi chính thức. Các kế hoạch hưu trí công thông qua chế độ mức hưởng xác định do khu vực công quản lý, đảm bảo tỷ lệ thay thế ít nhất 40% trung bình lương cả đời cùng với trường hợp tầng thứ nhất (khi được phép tích lũy);</w:t>
      </w:r>
    </w:p>
    <w:p w:rsidR="003609FB" w:rsidRDefault="00CD1524" w:rsidP="00CD1524">
      <w:pPr>
        <w:spacing w:before="120" w:after="0"/>
        <w:ind w:firstLine="720"/>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xml:space="preserve">- </w:t>
      </w:r>
      <w:r w:rsidR="003609FB" w:rsidRPr="00CD1524">
        <w:rPr>
          <w:rFonts w:asciiTheme="majorHAnsi" w:hAnsiTheme="majorHAnsi" w:cstheme="majorHAnsi"/>
          <w:color w:val="000000" w:themeColor="text1"/>
          <w:sz w:val="28"/>
          <w:szCs w:val="28"/>
        </w:rPr>
        <w:t xml:space="preserve">Tầng tự nguyện bao gồm lương hưu mang tính chất nghề nghiệp hoặc các chương trình tư nhân tự nguyện,ở dạng các chế độ DB hoặc DC. </w:t>
      </w:r>
    </w:p>
    <w:p w:rsidR="00C0214C" w:rsidRDefault="00C0214C" w:rsidP="00CD1524">
      <w:pPr>
        <w:spacing w:before="120" w:after="0"/>
        <w:ind w:firstLine="720"/>
        <w:jc w:val="both"/>
        <w:rPr>
          <w:rFonts w:asciiTheme="majorHAnsi" w:hAnsiTheme="majorHAnsi" w:cstheme="majorHAnsi"/>
          <w:color w:val="000000" w:themeColor="text1"/>
          <w:sz w:val="28"/>
          <w:szCs w:val="28"/>
        </w:rPr>
      </w:pPr>
    </w:p>
    <w:p w:rsidR="0089503E" w:rsidRDefault="0089503E">
      <w:pPr>
        <w:rPr>
          <w:rFonts w:asciiTheme="majorHAnsi" w:hAnsiTheme="majorHAnsi" w:cstheme="majorHAnsi"/>
          <w:b/>
          <w:color w:val="000000" w:themeColor="text1"/>
          <w:sz w:val="28"/>
          <w:szCs w:val="28"/>
        </w:rPr>
      </w:pPr>
      <w:r>
        <w:rPr>
          <w:rFonts w:asciiTheme="majorHAnsi" w:hAnsiTheme="majorHAnsi" w:cstheme="majorHAnsi"/>
          <w:b/>
          <w:color w:val="000000" w:themeColor="text1"/>
          <w:sz w:val="28"/>
          <w:szCs w:val="28"/>
        </w:rPr>
        <w:br w:type="page"/>
      </w:r>
    </w:p>
    <w:p w:rsidR="003609FB" w:rsidRPr="00CD1524" w:rsidRDefault="003609FB" w:rsidP="00CD1524">
      <w:pPr>
        <w:jc w:val="center"/>
        <w:rPr>
          <w:rFonts w:asciiTheme="majorHAnsi" w:hAnsiTheme="majorHAnsi" w:cstheme="majorHAnsi"/>
          <w:b/>
          <w:color w:val="000000" w:themeColor="text1"/>
          <w:sz w:val="28"/>
          <w:szCs w:val="28"/>
        </w:rPr>
      </w:pPr>
      <w:r w:rsidRPr="00CD1524">
        <w:rPr>
          <w:rFonts w:asciiTheme="majorHAnsi" w:hAnsiTheme="majorHAnsi" w:cstheme="majorHAnsi"/>
          <w:b/>
          <w:color w:val="000000" w:themeColor="text1"/>
          <w:sz w:val="28"/>
          <w:szCs w:val="28"/>
        </w:rPr>
        <w:lastRenderedPageBreak/>
        <w:t>Bảng 1: Cách tiếp cận đa tầng</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134"/>
        <w:gridCol w:w="1803"/>
        <w:gridCol w:w="1803"/>
        <w:gridCol w:w="1803"/>
        <w:gridCol w:w="1804"/>
      </w:tblGrid>
      <w:tr w:rsidR="003609FB" w:rsidRPr="004206BC" w:rsidTr="00D6056B">
        <w:tc>
          <w:tcPr>
            <w:tcW w:w="1134" w:type="dxa"/>
          </w:tcPr>
          <w:p w:rsidR="003609FB" w:rsidRPr="004206BC" w:rsidRDefault="003609FB" w:rsidP="00D6056B">
            <w:pPr>
              <w:rPr>
                <w:rFonts w:asciiTheme="majorHAnsi" w:hAnsiTheme="majorHAnsi" w:cstheme="majorHAnsi"/>
                <w:color w:val="000000" w:themeColor="text1"/>
                <w:szCs w:val="20"/>
              </w:rPr>
            </w:pPr>
            <w:r w:rsidRPr="004206BC">
              <w:rPr>
                <w:rFonts w:asciiTheme="majorHAnsi" w:hAnsiTheme="majorHAnsi" w:cstheme="majorHAnsi"/>
                <w:b/>
                <w:bCs/>
                <w:color w:val="000000" w:themeColor="text1"/>
                <w:szCs w:val="20"/>
                <w:lang w:val="en-GB"/>
              </w:rPr>
              <w:t xml:space="preserve">Trụ cột/tầng </w:t>
            </w:r>
          </w:p>
        </w:tc>
        <w:tc>
          <w:tcPr>
            <w:tcW w:w="1803" w:type="dxa"/>
          </w:tcPr>
          <w:p w:rsidR="003609FB" w:rsidRPr="004206BC" w:rsidRDefault="003609FB" w:rsidP="00D6056B">
            <w:pPr>
              <w:rPr>
                <w:rFonts w:asciiTheme="majorHAnsi" w:hAnsiTheme="majorHAnsi" w:cstheme="majorHAnsi"/>
                <w:color w:val="000000" w:themeColor="text1"/>
                <w:szCs w:val="20"/>
              </w:rPr>
            </w:pPr>
            <w:r w:rsidRPr="004206BC">
              <w:rPr>
                <w:rFonts w:asciiTheme="majorHAnsi" w:hAnsiTheme="majorHAnsi" w:cstheme="majorHAnsi"/>
                <w:b/>
                <w:bCs/>
                <w:color w:val="000000" w:themeColor="text1"/>
                <w:szCs w:val="20"/>
                <w:lang w:val="en-GB"/>
              </w:rPr>
              <w:t xml:space="preserve">Nhóm mục tiêu </w:t>
            </w:r>
          </w:p>
        </w:tc>
        <w:tc>
          <w:tcPr>
            <w:tcW w:w="1803" w:type="dxa"/>
          </w:tcPr>
          <w:p w:rsidR="003609FB" w:rsidRPr="004206BC" w:rsidRDefault="003609FB" w:rsidP="00D6056B">
            <w:pPr>
              <w:rPr>
                <w:rFonts w:asciiTheme="majorHAnsi" w:hAnsiTheme="majorHAnsi" w:cstheme="majorHAnsi"/>
                <w:color w:val="000000" w:themeColor="text1"/>
                <w:szCs w:val="20"/>
              </w:rPr>
            </w:pPr>
            <w:r w:rsidRPr="004206BC">
              <w:rPr>
                <w:rFonts w:asciiTheme="majorHAnsi" w:hAnsiTheme="majorHAnsi" w:cstheme="majorHAnsi"/>
                <w:b/>
                <w:bCs/>
                <w:color w:val="000000" w:themeColor="text1"/>
                <w:szCs w:val="20"/>
                <w:lang w:val="en-GB"/>
              </w:rPr>
              <w:t xml:space="preserve">Đặc điểm </w:t>
            </w:r>
          </w:p>
        </w:tc>
        <w:tc>
          <w:tcPr>
            <w:tcW w:w="1803" w:type="dxa"/>
          </w:tcPr>
          <w:p w:rsidR="003609FB" w:rsidRPr="004206BC" w:rsidRDefault="003609FB" w:rsidP="00D6056B">
            <w:pPr>
              <w:autoSpaceDE w:val="0"/>
              <w:autoSpaceDN w:val="0"/>
              <w:adjustRightInd w:val="0"/>
              <w:rPr>
                <w:rFonts w:asciiTheme="majorHAnsi" w:hAnsiTheme="majorHAnsi" w:cstheme="majorHAnsi"/>
                <w:color w:val="000000" w:themeColor="text1"/>
                <w:szCs w:val="20"/>
              </w:rPr>
            </w:pPr>
            <w:r w:rsidRPr="004206BC">
              <w:rPr>
                <w:rFonts w:asciiTheme="majorHAnsi" w:hAnsiTheme="majorHAnsi" w:cstheme="majorHAnsi"/>
                <w:b/>
                <w:bCs/>
                <w:color w:val="000000" w:themeColor="text1"/>
                <w:szCs w:val="20"/>
                <w:lang w:val="en-GB"/>
              </w:rPr>
              <w:t xml:space="preserve">Bản chất của </w:t>
            </w:r>
            <w:r w:rsidRPr="004206BC">
              <w:rPr>
                <w:rFonts w:asciiTheme="majorHAnsi" w:hAnsiTheme="majorHAnsi" w:cstheme="majorHAnsi"/>
                <w:b/>
                <w:bCs/>
                <w:color w:val="000000" w:themeColor="text1"/>
                <w:szCs w:val="20"/>
                <w:lang w:val="en-GB"/>
              </w:rPr>
              <w:br/>
              <w:t xml:space="preserve">sự tham gia </w:t>
            </w:r>
          </w:p>
        </w:tc>
        <w:tc>
          <w:tcPr>
            <w:tcW w:w="1804" w:type="dxa"/>
          </w:tcPr>
          <w:p w:rsidR="003609FB" w:rsidRPr="004206BC" w:rsidRDefault="003609FB" w:rsidP="00D6056B">
            <w:pPr>
              <w:autoSpaceDE w:val="0"/>
              <w:autoSpaceDN w:val="0"/>
              <w:adjustRightInd w:val="0"/>
              <w:rPr>
                <w:rFonts w:asciiTheme="majorHAnsi" w:hAnsiTheme="majorHAnsi" w:cstheme="majorHAnsi"/>
                <w:color w:val="000000" w:themeColor="text1"/>
                <w:szCs w:val="20"/>
              </w:rPr>
            </w:pPr>
            <w:r w:rsidRPr="004206BC">
              <w:rPr>
                <w:rFonts w:asciiTheme="majorHAnsi" w:hAnsiTheme="majorHAnsi" w:cstheme="majorHAnsi"/>
                <w:b/>
                <w:bCs/>
                <w:color w:val="000000" w:themeColor="text1"/>
                <w:szCs w:val="20"/>
                <w:lang w:val="en-GB"/>
              </w:rPr>
              <w:t xml:space="preserve">Phương thức cấp tài chính </w:t>
            </w:r>
          </w:p>
        </w:tc>
      </w:tr>
      <w:tr w:rsidR="003609FB" w:rsidRPr="004206BC" w:rsidTr="00D6056B">
        <w:tc>
          <w:tcPr>
            <w:tcW w:w="1134" w:type="dxa"/>
          </w:tcPr>
          <w:p w:rsidR="003609FB" w:rsidRPr="004206BC" w:rsidRDefault="003609FB" w:rsidP="00D6056B">
            <w:pPr>
              <w:ind w:left="34"/>
              <w:rPr>
                <w:rFonts w:asciiTheme="majorHAnsi" w:hAnsiTheme="majorHAnsi" w:cstheme="majorHAnsi"/>
                <w:color w:val="000000" w:themeColor="text1"/>
                <w:szCs w:val="20"/>
              </w:rPr>
            </w:pPr>
            <w:r w:rsidRPr="004206BC">
              <w:rPr>
                <w:rFonts w:asciiTheme="majorHAnsi" w:hAnsiTheme="majorHAnsi" w:cstheme="majorHAnsi"/>
                <w:color w:val="000000" w:themeColor="text1"/>
                <w:szCs w:val="20"/>
              </w:rPr>
              <w:t>1</w:t>
            </w:r>
          </w:p>
        </w:tc>
        <w:tc>
          <w:tcPr>
            <w:tcW w:w="1803" w:type="dxa"/>
          </w:tcPr>
          <w:p w:rsidR="003609FB" w:rsidRPr="004206BC" w:rsidRDefault="003609FB" w:rsidP="00D6056B">
            <w:pPr>
              <w:rPr>
                <w:rFonts w:asciiTheme="majorHAnsi" w:hAnsiTheme="majorHAnsi" w:cstheme="majorHAnsi"/>
                <w:color w:val="000000" w:themeColor="text1"/>
                <w:szCs w:val="20"/>
              </w:rPr>
            </w:pPr>
            <w:r w:rsidRPr="004206BC">
              <w:rPr>
                <w:rFonts w:asciiTheme="majorHAnsi" w:hAnsiTheme="majorHAnsi" w:cstheme="majorHAnsi"/>
                <w:color w:val="000000" w:themeColor="text1"/>
                <w:szCs w:val="20"/>
              </w:rPr>
              <w:t>Người nghèo, hoặc các đối tượng khác, bao gồm trong khu vực phi chính thức</w:t>
            </w:r>
          </w:p>
        </w:tc>
        <w:tc>
          <w:tcPr>
            <w:tcW w:w="1803" w:type="dxa"/>
          </w:tcPr>
          <w:p w:rsidR="003609FB" w:rsidRPr="004206BC" w:rsidRDefault="003609FB" w:rsidP="00D6056B">
            <w:pPr>
              <w:autoSpaceDE w:val="0"/>
              <w:autoSpaceDN w:val="0"/>
              <w:adjustRightInd w:val="0"/>
              <w:rPr>
                <w:rFonts w:asciiTheme="majorHAnsi" w:hAnsiTheme="majorHAnsi" w:cstheme="majorHAnsi"/>
                <w:color w:val="000000" w:themeColor="text1"/>
                <w:szCs w:val="20"/>
                <w:lang w:val="en-GB"/>
              </w:rPr>
            </w:pPr>
            <w:r w:rsidRPr="004206BC">
              <w:rPr>
                <w:rFonts w:asciiTheme="majorHAnsi" w:hAnsiTheme="majorHAnsi" w:cstheme="majorHAnsi"/>
                <w:color w:val="000000" w:themeColor="text1"/>
                <w:szCs w:val="20"/>
                <w:lang w:val="en-GB"/>
              </w:rPr>
              <w:t xml:space="preserve">Hưu trí xã hội toàn dân hoặc hưu trí xã hội dựa trên đánh giá gia cảnh hoặc hưu trí trợ cấp xã hội </w:t>
            </w:r>
          </w:p>
        </w:tc>
        <w:tc>
          <w:tcPr>
            <w:tcW w:w="1803" w:type="dxa"/>
          </w:tcPr>
          <w:p w:rsidR="003609FB" w:rsidRPr="004206BC" w:rsidRDefault="003609FB" w:rsidP="00D6056B">
            <w:pPr>
              <w:autoSpaceDE w:val="0"/>
              <w:autoSpaceDN w:val="0"/>
              <w:adjustRightInd w:val="0"/>
              <w:rPr>
                <w:rFonts w:asciiTheme="majorHAnsi" w:hAnsiTheme="majorHAnsi" w:cstheme="majorHAnsi"/>
                <w:color w:val="000000" w:themeColor="text1"/>
                <w:szCs w:val="20"/>
                <w:lang w:val="en-GB"/>
              </w:rPr>
            </w:pPr>
            <w:r w:rsidRPr="004206BC">
              <w:rPr>
                <w:rFonts w:asciiTheme="majorHAnsi" w:hAnsiTheme="majorHAnsi" w:cstheme="majorHAnsi"/>
                <w:color w:val="000000" w:themeColor="text1"/>
                <w:szCs w:val="20"/>
                <w:lang w:val="en-GB"/>
              </w:rPr>
              <w:t>Số dư hoặc phổ cập</w:t>
            </w:r>
            <w:r w:rsidR="00C67F4D">
              <w:rPr>
                <w:rFonts w:asciiTheme="majorHAnsi" w:hAnsiTheme="majorHAnsi" w:cstheme="majorHAnsi"/>
                <w:color w:val="000000" w:themeColor="text1"/>
                <w:szCs w:val="20"/>
                <w:lang w:val="en-GB"/>
              </w:rPr>
              <w:t xml:space="preserve"> </w:t>
            </w:r>
            <w:r w:rsidRPr="004206BC">
              <w:rPr>
                <w:rFonts w:asciiTheme="majorHAnsi" w:hAnsiTheme="majorHAnsi" w:cstheme="majorHAnsi"/>
                <w:color w:val="000000" w:themeColor="text1"/>
                <w:szCs w:val="20"/>
                <w:lang w:val="en-GB"/>
              </w:rPr>
              <w:t xml:space="preserve">toàn dân </w:t>
            </w:r>
          </w:p>
        </w:tc>
        <w:tc>
          <w:tcPr>
            <w:tcW w:w="1804" w:type="dxa"/>
          </w:tcPr>
          <w:p w:rsidR="003609FB" w:rsidRPr="004206BC" w:rsidRDefault="003609FB" w:rsidP="00D6056B">
            <w:pPr>
              <w:autoSpaceDE w:val="0"/>
              <w:autoSpaceDN w:val="0"/>
              <w:adjustRightInd w:val="0"/>
              <w:rPr>
                <w:rFonts w:asciiTheme="majorHAnsi" w:hAnsiTheme="majorHAnsi" w:cstheme="majorHAnsi"/>
                <w:color w:val="000000" w:themeColor="text1"/>
                <w:szCs w:val="20"/>
                <w:lang w:val="en-GB"/>
              </w:rPr>
            </w:pPr>
            <w:r w:rsidRPr="004206BC">
              <w:rPr>
                <w:rFonts w:asciiTheme="majorHAnsi" w:hAnsiTheme="majorHAnsi" w:cstheme="majorHAnsi"/>
                <w:color w:val="000000" w:themeColor="text1"/>
                <w:szCs w:val="20"/>
                <w:lang w:val="en-GB"/>
              </w:rPr>
              <w:t>Các khoản thu nhập thông thường,</w:t>
            </w:r>
          </w:p>
          <w:p w:rsidR="003609FB" w:rsidRPr="004206BC" w:rsidRDefault="003609FB" w:rsidP="00D6056B">
            <w:pPr>
              <w:rPr>
                <w:rFonts w:asciiTheme="majorHAnsi" w:hAnsiTheme="majorHAnsi" w:cstheme="majorHAnsi"/>
                <w:color w:val="000000" w:themeColor="text1"/>
                <w:szCs w:val="20"/>
              </w:rPr>
            </w:pPr>
          </w:p>
        </w:tc>
      </w:tr>
      <w:tr w:rsidR="003609FB" w:rsidRPr="004206BC" w:rsidTr="00D6056B">
        <w:tc>
          <w:tcPr>
            <w:tcW w:w="1134" w:type="dxa"/>
          </w:tcPr>
          <w:p w:rsidR="003609FB" w:rsidRPr="004206BC" w:rsidRDefault="003609FB" w:rsidP="00D6056B">
            <w:pPr>
              <w:ind w:left="34"/>
              <w:rPr>
                <w:rFonts w:asciiTheme="majorHAnsi" w:hAnsiTheme="majorHAnsi" w:cstheme="majorHAnsi"/>
                <w:color w:val="000000" w:themeColor="text1"/>
                <w:szCs w:val="20"/>
              </w:rPr>
            </w:pPr>
            <w:r w:rsidRPr="004206BC">
              <w:rPr>
                <w:rFonts w:asciiTheme="majorHAnsi" w:hAnsiTheme="majorHAnsi" w:cstheme="majorHAnsi"/>
                <w:color w:val="000000" w:themeColor="text1"/>
                <w:szCs w:val="20"/>
              </w:rPr>
              <w:t>2</w:t>
            </w:r>
          </w:p>
        </w:tc>
        <w:tc>
          <w:tcPr>
            <w:tcW w:w="1803" w:type="dxa"/>
          </w:tcPr>
          <w:p w:rsidR="003609FB" w:rsidRPr="004206BC" w:rsidRDefault="003609FB" w:rsidP="00D6056B">
            <w:pPr>
              <w:rPr>
                <w:rFonts w:asciiTheme="majorHAnsi" w:hAnsiTheme="majorHAnsi" w:cstheme="majorHAnsi"/>
                <w:color w:val="000000" w:themeColor="text1"/>
                <w:szCs w:val="20"/>
              </w:rPr>
            </w:pPr>
            <w:r w:rsidRPr="004206BC">
              <w:rPr>
                <w:rFonts w:asciiTheme="majorHAnsi" w:hAnsiTheme="majorHAnsi" w:cstheme="majorHAnsi"/>
                <w:color w:val="000000" w:themeColor="text1"/>
                <w:szCs w:val="20"/>
              </w:rPr>
              <w:t xml:space="preserve">Khu vực chính thức và phi chính thức </w:t>
            </w:r>
          </w:p>
        </w:tc>
        <w:tc>
          <w:tcPr>
            <w:tcW w:w="1803" w:type="dxa"/>
          </w:tcPr>
          <w:p w:rsidR="003609FB" w:rsidRPr="004206BC" w:rsidRDefault="003609FB" w:rsidP="00D6056B">
            <w:pPr>
              <w:autoSpaceDE w:val="0"/>
              <w:autoSpaceDN w:val="0"/>
              <w:adjustRightInd w:val="0"/>
              <w:rPr>
                <w:rFonts w:asciiTheme="majorHAnsi" w:hAnsiTheme="majorHAnsi" w:cstheme="majorHAnsi"/>
                <w:color w:val="000000" w:themeColor="text1"/>
                <w:szCs w:val="20"/>
                <w:lang w:val="en-GB"/>
              </w:rPr>
            </w:pPr>
            <w:r w:rsidRPr="004206BC">
              <w:rPr>
                <w:rFonts w:asciiTheme="majorHAnsi" w:hAnsiTheme="majorHAnsi" w:cstheme="majorHAnsi"/>
                <w:color w:val="000000" w:themeColor="text1"/>
                <w:szCs w:val="20"/>
                <w:lang w:val="en-GB"/>
              </w:rPr>
              <w:t>Các chế độ hưu trí công, quản lý theo cơ chế quản lý công</w:t>
            </w:r>
          </w:p>
          <w:p w:rsidR="003609FB" w:rsidRPr="004206BC" w:rsidRDefault="003609FB" w:rsidP="00D6056B">
            <w:pPr>
              <w:autoSpaceDE w:val="0"/>
              <w:autoSpaceDN w:val="0"/>
              <w:adjustRightInd w:val="0"/>
              <w:rPr>
                <w:rFonts w:asciiTheme="majorHAnsi" w:hAnsiTheme="majorHAnsi" w:cstheme="majorHAnsi"/>
                <w:color w:val="000000" w:themeColor="text1"/>
                <w:szCs w:val="20"/>
                <w:lang w:val="en-GB"/>
              </w:rPr>
            </w:pPr>
            <w:r w:rsidRPr="004206BC">
              <w:rPr>
                <w:rFonts w:asciiTheme="majorHAnsi" w:hAnsiTheme="majorHAnsi" w:cstheme="majorHAnsi"/>
                <w:color w:val="000000" w:themeColor="text1"/>
                <w:szCs w:val="20"/>
                <w:lang w:val="en-GB"/>
              </w:rPr>
              <w:t>Đảm bảo tỷ lệ thay thế 40% lương của cả cuộc đời hoặc chuẩn nghèo quốc</w:t>
            </w:r>
            <w:r>
              <w:rPr>
                <w:rFonts w:asciiTheme="majorHAnsi" w:hAnsiTheme="majorHAnsi" w:cstheme="majorHAnsi"/>
                <w:color w:val="000000" w:themeColor="text1"/>
                <w:szCs w:val="20"/>
                <w:lang w:val="en-GB"/>
              </w:rPr>
              <w:t xml:space="preserve"> </w:t>
            </w:r>
            <w:r w:rsidRPr="004206BC">
              <w:rPr>
                <w:rFonts w:asciiTheme="majorHAnsi" w:hAnsiTheme="majorHAnsi" w:cstheme="majorHAnsi"/>
                <w:color w:val="000000" w:themeColor="text1"/>
                <w:szCs w:val="20"/>
                <w:lang w:val="en-GB"/>
              </w:rPr>
              <w:t>gia</w:t>
            </w:r>
          </w:p>
        </w:tc>
        <w:tc>
          <w:tcPr>
            <w:tcW w:w="1803" w:type="dxa"/>
          </w:tcPr>
          <w:p w:rsidR="003609FB" w:rsidRPr="004206BC" w:rsidRDefault="003609FB" w:rsidP="00D6056B">
            <w:pPr>
              <w:rPr>
                <w:rFonts w:asciiTheme="majorHAnsi" w:hAnsiTheme="majorHAnsi" w:cstheme="majorHAnsi"/>
                <w:color w:val="000000" w:themeColor="text1"/>
                <w:szCs w:val="20"/>
              </w:rPr>
            </w:pPr>
            <w:r w:rsidRPr="004206BC">
              <w:rPr>
                <w:rFonts w:asciiTheme="majorHAnsi" w:hAnsiTheme="majorHAnsi" w:cstheme="majorHAnsi"/>
                <w:color w:val="000000" w:themeColor="text1"/>
                <w:szCs w:val="20"/>
                <w:lang w:val="en-GB"/>
              </w:rPr>
              <w:t xml:space="preserve">Bắt buộc </w:t>
            </w:r>
          </w:p>
        </w:tc>
        <w:tc>
          <w:tcPr>
            <w:tcW w:w="1804" w:type="dxa"/>
          </w:tcPr>
          <w:p w:rsidR="003609FB" w:rsidRPr="004206BC" w:rsidRDefault="003609FB" w:rsidP="00D6056B">
            <w:pPr>
              <w:autoSpaceDE w:val="0"/>
              <w:autoSpaceDN w:val="0"/>
              <w:adjustRightInd w:val="0"/>
              <w:rPr>
                <w:rFonts w:asciiTheme="majorHAnsi" w:hAnsiTheme="majorHAnsi" w:cstheme="majorHAnsi"/>
                <w:color w:val="000000" w:themeColor="text1"/>
                <w:szCs w:val="20"/>
                <w:lang w:val="en-GB"/>
              </w:rPr>
            </w:pPr>
            <w:r w:rsidRPr="004206BC">
              <w:rPr>
                <w:rFonts w:asciiTheme="majorHAnsi" w:hAnsiTheme="majorHAnsi" w:cstheme="majorHAnsi"/>
                <w:color w:val="000000" w:themeColor="text1"/>
                <w:szCs w:val="20"/>
                <w:lang w:val="en-GB"/>
              </w:rPr>
              <w:t>Các khoản đóng,</w:t>
            </w:r>
          </w:p>
          <w:p w:rsidR="003609FB" w:rsidRPr="004206BC" w:rsidRDefault="003609FB" w:rsidP="00D6056B">
            <w:pPr>
              <w:autoSpaceDE w:val="0"/>
              <w:autoSpaceDN w:val="0"/>
              <w:adjustRightInd w:val="0"/>
              <w:rPr>
                <w:rFonts w:asciiTheme="majorHAnsi" w:hAnsiTheme="majorHAnsi" w:cstheme="majorHAnsi"/>
                <w:color w:val="000000" w:themeColor="text1"/>
                <w:szCs w:val="20"/>
                <w:lang w:val="en-GB"/>
              </w:rPr>
            </w:pPr>
            <w:r w:rsidRPr="004206BC">
              <w:rPr>
                <w:rFonts w:asciiTheme="majorHAnsi" w:hAnsiTheme="majorHAnsi" w:cstheme="majorHAnsi"/>
                <w:color w:val="000000" w:themeColor="text1"/>
                <w:szCs w:val="20"/>
                <w:lang w:val="en-GB"/>
              </w:rPr>
              <w:t>Thực thanh thực chi (PAYG)hoặc ngân sách hỗ trợ kinh phí một phần; Các mức hỗ trợ sẽ được quyết định tùy theo</w:t>
            </w:r>
          </w:p>
          <w:p w:rsidR="003609FB" w:rsidRPr="004206BC" w:rsidRDefault="003609FB" w:rsidP="00D6056B">
            <w:pPr>
              <w:rPr>
                <w:rFonts w:asciiTheme="majorHAnsi" w:hAnsiTheme="majorHAnsi" w:cstheme="majorHAnsi"/>
                <w:color w:val="000000" w:themeColor="text1"/>
                <w:szCs w:val="20"/>
              </w:rPr>
            </w:pPr>
          </w:p>
        </w:tc>
      </w:tr>
      <w:tr w:rsidR="003609FB" w:rsidRPr="004206BC" w:rsidTr="00D6056B">
        <w:tc>
          <w:tcPr>
            <w:tcW w:w="1134" w:type="dxa"/>
          </w:tcPr>
          <w:p w:rsidR="003609FB" w:rsidRPr="004206BC" w:rsidRDefault="003609FB" w:rsidP="00D6056B">
            <w:pPr>
              <w:ind w:left="34"/>
              <w:rPr>
                <w:rFonts w:asciiTheme="majorHAnsi" w:hAnsiTheme="majorHAnsi" w:cstheme="majorHAnsi"/>
                <w:color w:val="000000" w:themeColor="text1"/>
                <w:szCs w:val="20"/>
              </w:rPr>
            </w:pPr>
            <w:r w:rsidRPr="004206BC">
              <w:rPr>
                <w:rFonts w:asciiTheme="majorHAnsi" w:hAnsiTheme="majorHAnsi" w:cstheme="majorHAnsi"/>
                <w:color w:val="000000" w:themeColor="text1"/>
                <w:szCs w:val="20"/>
              </w:rPr>
              <w:t>3</w:t>
            </w:r>
          </w:p>
        </w:tc>
        <w:tc>
          <w:tcPr>
            <w:tcW w:w="1803" w:type="dxa"/>
          </w:tcPr>
          <w:p w:rsidR="003609FB" w:rsidRPr="004206BC" w:rsidRDefault="003609FB" w:rsidP="00D6056B">
            <w:pPr>
              <w:rPr>
                <w:rFonts w:asciiTheme="majorHAnsi" w:hAnsiTheme="majorHAnsi" w:cstheme="majorHAnsi"/>
                <w:color w:val="000000" w:themeColor="text1"/>
                <w:szCs w:val="20"/>
              </w:rPr>
            </w:pPr>
            <w:r w:rsidRPr="004206BC">
              <w:rPr>
                <w:rFonts w:asciiTheme="majorHAnsi" w:hAnsiTheme="majorHAnsi" w:cstheme="majorHAnsi"/>
                <w:color w:val="000000" w:themeColor="text1"/>
                <w:szCs w:val="20"/>
                <w:lang w:val="en-GB"/>
              </w:rPr>
              <w:t xml:space="preserve">Khu vực chính thức </w:t>
            </w:r>
          </w:p>
        </w:tc>
        <w:tc>
          <w:tcPr>
            <w:tcW w:w="1803" w:type="dxa"/>
          </w:tcPr>
          <w:p w:rsidR="003609FB" w:rsidRPr="004206BC" w:rsidRDefault="003609FB" w:rsidP="00D6056B">
            <w:pPr>
              <w:autoSpaceDE w:val="0"/>
              <w:autoSpaceDN w:val="0"/>
              <w:adjustRightInd w:val="0"/>
              <w:rPr>
                <w:rFonts w:asciiTheme="majorHAnsi" w:hAnsiTheme="majorHAnsi" w:cstheme="majorHAnsi"/>
                <w:color w:val="000000" w:themeColor="text1"/>
                <w:szCs w:val="20"/>
                <w:lang w:val="en-GB"/>
              </w:rPr>
            </w:pPr>
            <w:r w:rsidRPr="004206BC">
              <w:rPr>
                <w:rFonts w:asciiTheme="majorHAnsi" w:hAnsiTheme="majorHAnsi" w:cstheme="majorHAnsi"/>
                <w:color w:val="000000" w:themeColor="text1"/>
                <w:szCs w:val="20"/>
                <w:lang w:val="en-GB"/>
              </w:rPr>
              <w:t>Các kế hoạch hưu trí cá nhân mang tính chất nghề nghiệp hoặc mang tính chất tư nhân,</w:t>
            </w:r>
          </w:p>
        </w:tc>
        <w:tc>
          <w:tcPr>
            <w:tcW w:w="1803" w:type="dxa"/>
          </w:tcPr>
          <w:p w:rsidR="003609FB" w:rsidRPr="004206BC" w:rsidRDefault="003609FB" w:rsidP="00D6056B">
            <w:pPr>
              <w:rPr>
                <w:rFonts w:asciiTheme="majorHAnsi" w:hAnsiTheme="majorHAnsi" w:cstheme="majorHAnsi"/>
                <w:color w:val="000000" w:themeColor="text1"/>
                <w:szCs w:val="20"/>
              </w:rPr>
            </w:pPr>
            <w:r w:rsidRPr="004206BC">
              <w:rPr>
                <w:rFonts w:asciiTheme="majorHAnsi" w:hAnsiTheme="majorHAnsi" w:cstheme="majorHAnsi"/>
                <w:color w:val="000000" w:themeColor="text1"/>
                <w:szCs w:val="20"/>
                <w:lang w:val="en-GB"/>
              </w:rPr>
              <w:t xml:space="preserve">Tự nguyện </w:t>
            </w:r>
          </w:p>
        </w:tc>
        <w:tc>
          <w:tcPr>
            <w:tcW w:w="1804" w:type="dxa"/>
          </w:tcPr>
          <w:p w:rsidR="003609FB" w:rsidRPr="004206BC" w:rsidRDefault="003609FB" w:rsidP="00D6056B">
            <w:pPr>
              <w:autoSpaceDE w:val="0"/>
              <w:autoSpaceDN w:val="0"/>
              <w:adjustRightInd w:val="0"/>
              <w:rPr>
                <w:rFonts w:asciiTheme="majorHAnsi" w:hAnsiTheme="majorHAnsi" w:cstheme="majorHAnsi"/>
                <w:color w:val="000000" w:themeColor="text1"/>
                <w:szCs w:val="20"/>
                <w:lang w:val="en-GB"/>
              </w:rPr>
            </w:pPr>
            <w:r w:rsidRPr="004206BC">
              <w:rPr>
                <w:rFonts w:asciiTheme="majorHAnsi" w:hAnsiTheme="majorHAnsi" w:cstheme="majorHAnsi"/>
                <w:color w:val="000000" w:themeColor="text1"/>
                <w:szCs w:val="20"/>
                <w:lang w:val="en-GB"/>
              </w:rPr>
              <w:t xml:space="preserve">Kinh phí hoàn toàn được lấy từ các khoản đóng của cá nhân </w:t>
            </w:r>
          </w:p>
        </w:tc>
      </w:tr>
    </w:tbl>
    <w:p w:rsidR="003609FB" w:rsidRPr="004206BC" w:rsidRDefault="003609FB" w:rsidP="00CD1524">
      <w:pPr>
        <w:jc w:val="center"/>
        <w:rPr>
          <w:rFonts w:asciiTheme="majorHAnsi" w:hAnsiTheme="majorHAnsi" w:cstheme="majorHAnsi"/>
          <w:color w:val="000000" w:themeColor="text1"/>
        </w:rPr>
      </w:pPr>
      <w:r w:rsidRPr="004206BC">
        <w:rPr>
          <w:rFonts w:asciiTheme="majorHAnsi" w:hAnsiTheme="majorHAnsi" w:cstheme="majorHAnsi"/>
          <w:color w:val="000000" w:themeColor="text1"/>
        </w:rPr>
        <w:t>Tổng hợp từ Nghiên cứu của Cichon (2004)</w:t>
      </w:r>
    </w:p>
    <w:p w:rsidR="003609FB" w:rsidRPr="005B2580" w:rsidRDefault="001473E4" w:rsidP="001473E4">
      <w:pPr>
        <w:pStyle w:val="Heading3"/>
        <w:spacing w:before="120" w:line="276" w:lineRule="auto"/>
        <w:ind w:firstLine="709"/>
        <w:jc w:val="both"/>
        <w:rPr>
          <w:rFonts w:cstheme="majorHAnsi"/>
          <w:b/>
          <w:i/>
          <w:color w:val="000000" w:themeColor="text1"/>
          <w:sz w:val="28"/>
          <w:szCs w:val="28"/>
        </w:rPr>
      </w:pPr>
      <w:bookmarkStart w:id="6" w:name="_Toc491508936"/>
      <w:r>
        <w:rPr>
          <w:rFonts w:cstheme="majorHAnsi"/>
          <w:b/>
          <w:i/>
          <w:color w:val="000000" w:themeColor="text1"/>
          <w:sz w:val="28"/>
          <w:szCs w:val="28"/>
        </w:rPr>
        <w:t>2.5.</w:t>
      </w:r>
      <w:r w:rsidR="00CD1524" w:rsidRPr="005B2580">
        <w:rPr>
          <w:rFonts w:cstheme="majorHAnsi"/>
          <w:b/>
          <w:i/>
          <w:color w:val="000000" w:themeColor="text1"/>
          <w:sz w:val="28"/>
          <w:szCs w:val="28"/>
        </w:rPr>
        <w:t xml:space="preserve"> </w:t>
      </w:r>
      <w:r w:rsidR="003609FB" w:rsidRPr="005B2580">
        <w:rPr>
          <w:rFonts w:cstheme="majorHAnsi"/>
          <w:b/>
          <w:i/>
          <w:color w:val="000000" w:themeColor="text1"/>
          <w:sz w:val="28"/>
          <w:szCs w:val="28"/>
        </w:rPr>
        <w:t xml:space="preserve">Vai trò của của </w:t>
      </w:r>
      <w:r w:rsidR="00CD1524" w:rsidRPr="005B2580">
        <w:rPr>
          <w:rFonts w:cstheme="majorHAnsi"/>
          <w:b/>
          <w:i/>
          <w:color w:val="000000" w:themeColor="text1"/>
          <w:sz w:val="28"/>
          <w:szCs w:val="28"/>
        </w:rPr>
        <w:t>Nhà nước</w:t>
      </w:r>
      <w:r w:rsidR="003609FB" w:rsidRPr="005B2580">
        <w:rPr>
          <w:rFonts w:cstheme="majorHAnsi"/>
          <w:b/>
          <w:i/>
          <w:color w:val="000000" w:themeColor="text1"/>
          <w:sz w:val="28"/>
          <w:szCs w:val="28"/>
        </w:rPr>
        <w:t xml:space="preserve"> trong mở rộng diện bao phủ BHXH</w:t>
      </w:r>
      <w:bookmarkEnd w:id="6"/>
    </w:p>
    <w:p w:rsidR="003609FB" w:rsidRPr="00CD1524"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rPr>
        <w:t xml:space="preserve">Nhà nước đóng vai trò quyết định trong mở rộng diện bao phủ BHXH. Không chỉ chịu trách nhiệm về hoạch định chính sách và các quỹ BHXH, </w:t>
      </w:r>
      <w:r w:rsidR="00CD1524">
        <w:rPr>
          <w:rFonts w:asciiTheme="majorHAnsi" w:hAnsiTheme="majorHAnsi" w:cstheme="majorHAnsi"/>
          <w:color w:val="000000" w:themeColor="text1"/>
          <w:sz w:val="28"/>
          <w:szCs w:val="28"/>
        </w:rPr>
        <w:t>Nhà nước</w:t>
      </w:r>
      <w:r w:rsidRPr="00CD1524">
        <w:rPr>
          <w:rFonts w:asciiTheme="majorHAnsi" w:hAnsiTheme="majorHAnsi" w:cstheme="majorHAnsi"/>
          <w:color w:val="000000" w:themeColor="text1"/>
          <w:sz w:val="28"/>
          <w:szCs w:val="28"/>
        </w:rPr>
        <w:t xml:space="preserve"> còn hỗ trợ mở rộng diện bao phủ thông qua (i) xây dựng lên các cơ chế đảm bảo hiệu lực thực hiện, và (ii) hỗ trợ cho những nhóm dân số nhất định tham gia thông qua trợ cấp lương hưu bằng kinh phí từ ngân sách nhà nước hoặc giảm mức đóng (trường hợp của Trung Quốc và Thái Lan). </w:t>
      </w:r>
    </w:p>
    <w:p w:rsidR="003609FB" w:rsidRPr="00CD1524"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rPr>
        <w:t xml:space="preserve">Các khoản hỗ trợ về tài chính của Nhà nước (trợ cấp lương hưu bằng kinh phí từ ngân sách nhà nước hoặc trợ cấp các khoản đóng) có thể được thực hiện hoặc từ ngân sách của chính phủ và/hoặc chính quyền địa phương, tùy thuộc vào hệ thống thuế của quốc gia đó. Tuy nhiên, sự hỗ trợ như vậy của Nhà nước sẽ chỉ thành công nếu các cơ chế xác định đối tượng hưởng hoặc các nhóm mục tiêu được thiết kế đúng đắn, điều mà để có được đòi hỏi phải có sự đầu tư và các cơ chế duy trì cập nhật thường xuyên các sổ đăng ký. </w:t>
      </w:r>
    </w:p>
    <w:p w:rsidR="00CD1524"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rPr>
        <w:t xml:space="preserve">Thứ hai là, </w:t>
      </w:r>
      <w:r w:rsidR="00CD1524">
        <w:rPr>
          <w:rFonts w:asciiTheme="majorHAnsi" w:hAnsiTheme="majorHAnsi" w:cstheme="majorHAnsi"/>
          <w:color w:val="000000" w:themeColor="text1"/>
          <w:sz w:val="28"/>
          <w:szCs w:val="28"/>
        </w:rPr>
        <w:t>Nhà nước</w:t>
      </w:r>
      <w:r w:rsidRPr="00CD1524">
        <w:rPr>
          <w:rFonts w:asciiTheme="majorHAnsi" w:hAnsiTheme="majorHAnsi" w:cstheme="majorHAnsi"/>
          <w:color w:val="000000" w:themeColor="text1"/>
          <w:sz w:val="28"/>
          <w:szCs w:val="28"/>
        </w:rPr>
        <w:t xml:space="preserve"> phải chịu trách nhiệm thi hành và đảm bảo hiệu lực pháp luật về ASXH.</w:t>
      </w:r>
      <w:r w:rsidR="00CD1524">
        <w:rPr>
          <w:rFonts w:asciiTheme="majorHAnsi" w:hAnsiTheme="majorHAnsi" w:cstheme="majorHAnsi"/>
          <w:color w:val="000000" w:themeColor="text1"/>
          <w:sz w:val="28"/>
          <w:szCs w:val="28"/>
        </w:rPr>
        <w:t xml:space="preserve"> </w:t>
      </w:r>
      <w:r w:rsidRPr="00CD1524">
        <w:rPr>
          <w:rFonts w:asciiTheme="majorHAnsi" w:hAnsiTheme="majorHAnsi" w:cstheme="majorHAnsi"/>
          <w:color w:val="000000" w:themeColor="text1"/>
          <w:sz w:val="28"/>
          <w:szCs w:val="28"/>
        </w:rPr>
        <w:t xml:space="preserve">Để thực hiện được những điều như nêu trên, thanh tra BHXH trong mối quan hệ phối hợp với thanh tra lao động, đóng vai trò đặc biệt quan trọng, và cần được trao đủ nguồn lực tương xứng. Thành lập các “chốt kiểm” </w:t>
      </w:r>
      <w:r w:rsidRPr="00CD1524">
        <w:rPr>
          <w:rFonts w:asciiTheme="majorHAnsi" w:hAnsiTheme="majorHAnsi" w:cstheme="majorHAnsi"/>
          <w:color w:val="000000" w:themeColor="text1"/>
          <w:sz w:val="28"/>
          <w:szCs w:val="28"/>
        </w:rPr>
        <w:lastRenderedPageBreak/>
        <w:t>(check-points) và tạo ra các biện pháp khuyến khích cũng sẽ đồng thời giúp tăng tỷ lệ bao phủ. Ví dụ về các “chốt kiểm” (check-point) là sự chia sẻ dữ liệu giữa các hệ thống BHXH và các hệ thống thuế</w:t>
      </w:r>
      <w:r w:rsidRPr="00CD1524">
        <w:rPr>
          <w:rStyle w:val="FootnoteReference"/>
          <w:rFonts w:asciiTheme="majorHAnsi" w:hAnsiTheme="majorHAnsi" w:cstheme="majorHAnsi"/>
          <w:color w:val="000000" w:themeColor="text1"/>
          <w:sz w:val="28"/>
          <w:szCs w:val="28"/>
        </w:rPr>
        <w:footnoteReference w:id="9"/>
      </w:r>
      <w:r w:rsidRPr="00CD1524">
        <w:rPr>
          <w:rFonts w:asciiTheme="majorHAnsi" w:hAnsiTheme="majorHAnsi" w:cstheme="majorHAnsi"/>
          <w:color w:val="000000" w:themeColor="text1"/>
          <w:sz w:val="28"/>
          <w:szCs w:val="28"/>
        </w:rPr>
        <w:t>,</w:t>
      </w:r>
      <w:r w:rsidR="00CD1524">
        <w:rPr>
          <w:rFonts w:asciiTheme="majorHAnsi" w:hAnsiTheme="majorHAnsi" w:cstheme="majorHAnsi"/>
          <w:color w:val="000000" w:themeColor="text1"/>
          <w:sz w:val="28"/>
          <w:szCs w:val="28"/>
        </w:rPr>
        <w:t xml:space="preserve"> </w:t>
      </w:r>
      <w:r w:rsidRPr="00CD1524">
        <w:rPr>
          <w:rFonts w:asciiTheme="majorHAnsi" w:hAnsiTheme="majorHAnsi" w:cstheme="majorHAnsi"/>
          <w:color w:val="000000" w:themeColor="text1"/>
          <w:sz w:val="28"/>
          <w:szCs w:val="28"/>
        </w:rPr>
        <w:t>bao gồm đơn giản hóa thủ tục đăng ký và thanh toán BHXH cũng như kê khai và nộp thuế đối với các doanh nghiệp nhỏ và vừa và các đối tượng lao động tự doanh</w:t>
      </w:r>
      <w:r w:rsidRPr="00CD1524">
        <w:rPr>
          <w:rStyle w:val="FootnoteReference"/>
          <w:rFonts w:asciiTheme="majorHAnsi" w:hAnsiTheme="majorHAnsi" w:cstheme="majorHAnsi"/>
          <w:color w:val="000000" w:themeColor="text1"/>
          <w:sz w:val="28"/>
          <w:szCs w:val="28"/>
        </w:rPr>
        <w:footnoteReference w:id="10"/>
      </w:r>
      <w:r w:rsidRPr="00CD1524">
        <w:rPr>
          <w:rFonts w:asciiTheme="majorHAnsi" w:hAnsiTheme="majorHAnsi" w:cstheme="majorHAnsi"/>
          <w:color w:val="000000" w:themeColor="text1"/>
          <w:sz w:val="28"/>
          <w:szCs w:val="28"/>
        </w:rPr>
        <w:t>; yêu cầu phải đăng ký BHXH để đảm bảo đủ điều kiện tham gia các hợp đồng thầu các gói dịch vụ công và phát triển cơ sở hạ tầng; kết nối giữaviệc tham gia BHXH với việc tiếp cận đến các chương trình về thị trường lao động trong độ tuổi của Chính phủ (đào tạo nghề, hỗ trợ doanh nghiệp,</w:t>
      </w:r>
      <w:r w:rsidR="00214D54">
        <w:rPr>
          <w:rFonts w:asciiTheme="majorHAnsi" w:hAnsiTheme="majorHAnsi" w:cstheme="majorHAnsi"/>
          <w:color w:val="000000" w:themeColor="text1"/>
          <w:sz w:val="28"/>
          <w:szCs w:val="28"/>
        </w:rPr>
        <w:t>…</w:t>
      </w:r>
      <w:r w:rsidRPr="00CD1524">
        <w:rPr>
          <w:rFonts w:asciiTheme="majorHAnsi" w:hAnsiTheme="majorHAnsi" w:cstheme="majorHAnsi"/>
          <w:color w:val="000000" w:themeColor="text1"/>
          <w:sz w:val="28"/>
          <w:szCs w:val="28"/>
        </w:rPr>
        <w:t xml:space="preserve">); sáp nhập các cơ sở chi nhánh về BHYT và BHXH. </w:t>
      </w:r>
    </w:p>
    <w:p w:rsidR="00CD1524"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rPr>
        <w:t xml:space="preserve">Quan trọng là </w:t>
      </w:r>
      <w:r w:rsidR="00CD1524">
        <w:rPr>
          <w:rFonts w:asciiTheme="majorHAnsi" w:hAnsiTheme="majorHAnsi" w:cstheme="majorHAnsi"/>
          <w:color w:val="000000" w:themeColor="text1"/>
          <w:sz w:val="28"/>
          <w:szCs w:val="28"/>
        </w:rPr>
        <w:t>Nhà nước</w:t>
      </w:r>
      <w:r w:rsidRPr="00CD1524">
        <w:rPr>
          <w:rFonts w:asciiTheme="majorHAnsi" w:hAnsiTheme="majorHAnsi" w:cstheme="majorHAnsi"/>
          <w:color w:val="000000" w:themeColor="text1"/>
          <w:sz w:val="28"/>
          <w:szCs w:val="28"/>
        </w:rPr>
        <w:t xml:space="preserve"> cần phải tìm cách để biến đổi hệ thống BHXH trở lên hấp dẫn hơn, đảm bảo đơn giản hóa và hiệu quả các thủ tục đăng ký và thanh toán</w:t>
      </w:r>
      <w:r w:rsidRPr="00CD1524">
        <w:rPr>
          <w:rStyle w:val="FootnoteReference"/>
          <w:rFonts w:asciiTheme="majorHAnsi" w:hAnsiTheme="majorHAnsi" w:cstheme="majorHAnsi"/>
          <w:color w:val="000000" w:themeColor="text1"/>
          <w:sz w:val="28"/>
          <w:szCs w:val="28"/>
        </w:rPr>
        <w:footnoteReference w:id="11"/>
      </w:r>
      <w:r w:rsidRPr="00CD1524">
        <w:rPr>
          <w:rFonts w:asciiTheme="majorHAnsi" w:hAnsiTheme="majorHAnsi" w:cstheme="majorHAnsi"/>
          <w:color w:val="000000" w:themeColor="text1"/>
          <w:sz w:val="28"/>
          <w:szCs w:val="28"/>
        </w:rPr>
        <w:t>, và đảm bảo tính hấp dẫn của các gói dịch vụ. Theo nghĩa đó, ở nhiều quốc gia, mở rộng diện bao phủ bằng tăng số lượng đối tượng tham gia tự nguyện thường không mang lại những kết quả nổi bật. Khả năng đóng góp hạn hẹp của nhóm dân số mục tiêu là một nguyên nhân, nhưng không phải là nguyên nhân duy nhất</w:t>
      </w:r>
      <w:r w:rsidRPr="00CD1524">
        <w:rPr>
          <w:rStyle w:val="FootnoteReference"/>
          <w:rFonts w:asciiTheme="majorHAnsi" w:hAnsiTheme="majorHAnsi" w:cstheme="majorHAnsi"/>
          <w:color w:val="000000" w:themeColor="text1"/>
          <w:sz w:val="28"/>
          <w:szCs w:val="28"/>
        </w:rPr>
        <w:footnoteReference w:id="12"/>
      </w:r>
      <w:r w:rsidRPr="00CD1524">
        <w:rPr>
          <w:rFonts w:asciiTheme="majorHAnsi" w:hAnsiTheme="majorHAnsi" w:cstheme="majorHAnsi"/>
          <w:color w:val="000000" w:themeColor="text1"/>
          <w:sz w:val="28"/>
          <w:szCs w:val="28"/>
        </w:rPr>
        <w:t>. Trong nhận thức của người lao động trong khu vực kinh tế phi chính thức, đặc biệt là những người có thu nhập thấp và người lao động trẻ tuổi, việc đóng góp để tích lũy cho chế độ hưu trí chưa phải là ưu tiên. Các nước đã có kinh nghiệm thành công là những nước đã dần dần mở rộng gói chế độ này [hưu trí] bằng cách đưa vào các chế độ y tế, các chế độ ngắn hạn như ốm đau, thai sản, trợ cấp cho trẻ em và chế độ tai nạn lao động theo diện BHXH tự nguyện.</w:t>
      </w:r>
      <w:r w:rsidRPr="00CD1524">
        <w:rPr>
          <w:rStyle w:val="FootnoteReference"/>
          <w:rFonts w:asciiTheme="majorHAnsi" w:hAnsiTheme="majorHAnsi" w:cstheme="majorHAnsi"/>
          <w:color w:val="000000" w:themeColor="text1"/>
          <w:sz w:val="28"/>
          <w:szCs w:val="28"/>
        </w:rPr>
        <w:footnoteReference w:id="13"/>
      </w:r>
    </w:p>
    <w:p w:rsidR="003609FB" w:rsidRPr="00CD1524" w:rsidRDefault="003609FB" w:rsidP="00CD1524">
      <w:pPr>
        <w:spacing w:before="120" w:after="0"/>
        <w:ind w:firstLine="720"/>
        <w:jc w:val="both"/>
        <w:rPr>
          <w:rFonts w:asciiTheme="majorHAnsi" w:hAnsiTheme="majorHAnsi" w:cstheme="majorHAnsi"/>
          <w:color w:val="000000" w:themeColor="text1"/>
          <w:sz w:val="28"/>
          <w:szCs w:val="28"/>
        </w:rPr>
      </w:pPr>
      <w:r w:rsidRPr="00CD1524">
        <w:rPr>
          <w:rFonts w:asciiTheme="majorHAnsi" w:hAnsiTheme="majorHAnsi" w:cstheme="majorHAnsi"/>
          <w:color w:val="000000" w:themeColor="text1"/>
          <w:sz w:val="28"/>
          <w:szCs w:val="28"/>
        </w:rPr>
        <w:t>Đồng thời, chính sách cũng cần phải được điều chỉnh để phù hợp với tình trạng và khả năng đóng góp của người lao động trong khu vực kinh tế phi chính thức và phù hợp với đối tượng tự doanh.</w:t>
      </w:r>
      <w:r w:rsidR="00672889">
        <w:rPr>
          <w:rFonts w:asciiTheme="majorHAnsi" w:hAnsiTheme="majorHAnsi" w:cstheme="majorHAnsi"/>
          <w:color w:val="000000" w:themeColor="text1"/>
          <w:sz w:val="28"/>
          <w:szCs w:val="28"/>
        </w:rPr>
        <w:t xml:space="preserve"> </w:t>
      </w:r>
      <w:r w:rsidRPr="00CD1524">
        <w:rPr>
          <w:rFonts w:asciiTheme="majorHAnsi" w:hAnsiTheme="majorHAnsi" w:cstheme="majorHAnsi"/>
          <w:color w:val="000000" w:themeColor="text1"/>
          <w:sz w:val="28"/>
          <w:szCs w:val="28"/>
        </w:rPr>
        <w:t>Điều chỉnh để thang mức đóng trở lên linh hoạt hơn, giảm các điều kiện xét duyệt cho để cho phép tiếp cận các chế độ</w:t>
      </w:r>
      <w:r w:rsidR="00214D54">
        <w:rPr>
          <w:rFonts w:asciiTheme="majorHAnsi" w:hAnsiTheme="majorHAnsi" w:cstheme="majorHAnsi"/>
          <w:color w:val="000000" w:themeColor="text1"/>
          <w:sz w:val="28"/>
          <w:szCs w:val="28"/>
        </w:rPr>
        <w:t>,…</w:t>
      </w:r>
      <w:r w:rsidRPr="00CD1524">
        <w:rPr>
          <w:rFonts w:asciiTheme="majorHAnsi" w:hAnsiTheme="majorHAnsi" w:cstheme="majorHAnsi"/>
          <w:color w:val="000000" w:themeColor="text1"/>
          <w:sz w:val="28"/>
          <w:szCs w:val="28"/>
        </w:rPr>
        <w:t>là hai trong số nhiều biện pháp có tác động tích lực đến việc mở rộng diện bao phủ. Chẳng hạn, có thể giảm số năm mà một người phải đóng để được hưởng mức lương hưu tối thiểu xuống mức số năm tối thiểu phải đóng để được hưởng theo nguyên tắc “1 năm đóng cũng được tính” như vậy sẽ đảm bảo phù hợp hơn với các loại việc làm, chẳng hạn giảm xuống còn 5 năm hoặc thậm chí ít hơn</w:t>
      </w:r>
      <w:r w:rsidRPr="00CD1524">
        <w:rPr>
          <w:rFonts w:asciiTheme="majorHAnsi" w:hAnsiTheme="majorHAnsi" w:cstheme="majorHAnsi"/>
          <w:color w:val="1F497D"/>
          <w:sz w:val="28"/>
          <w:szCs w:val="28"/>
          <w:shd w:val="clear" w:color="auto" w:fill="FFFFFF"/>
        </w:rPr>
        <w:t>.</w:t>
      </w:r>
    </w:p>
    <w:p w:rsidR="003609FB" w:rsidRDefault="003609FB" w:rsidP="00CD1524">
      <w:pPr>
        <w:spacing w:before="120" w:after="0"/>
        <w:ind w:firstLine="720"/>
        <w:jc w:val="both"/>
        <w:rPr>
          <w:rFonts w:asciiTheme="majorHAnsi" w:hAnsiTheme="majorHAnsi" w:cstheme="majorHAnsi"/>
          <w:color w:val="000000" w:themeColor="text1"/>
        </w:rPr>
      </w:pPr>
      <w:r w:rsidRPr="00CD1524">
        <w:rPr>
          <w:rFonts w:asciiTheme="majorHAnsi" w:hAnsiTheme="majorHAnsi" w:cstheme="majorHAnsi"/>
          <w:color w:val="000000" w:themeColor="text1"/>
          <w:sz w:val="28"/>
          <w:szCs w:val="28"/>
        </w:rPr>
        <w:t xml:space="preserve">Cuối cùng, </w:t>
      </w:r>
      <w:r w:rsidR="00CD1524">
        <w:rPr>
          <w:rFonts w:asciiTheme="majorHAnsi" w:hAnsiTheme="majorHAnsi" w:cstheme="majorHAnsi"/>
          <w:color w:val="000000" w:themeColor="text1"/>
          <w:sz w:val="28"/>
          <w:szCs w:val="28"/>
        </w:rPr>
        <w:t>Nhà nước</w:t>
      </w:r>
      <w:r w:rsidRPr="00CD1524">
        <w:rPr>
          <w:rFonts w:asciiTheme="majorHAnsi" w:hAnsiTheme="majorHAnsi" w:cstheme="majorHAnsi"/>
          <w:color w:val="000000" w:themeColor="text1"/>
          <w:sz w:val="28"/>
          <w:szCs w:val="28"/>
        </w:rPr>
        <w:t xml:space="preserve"> đóng vai trò quan trọng trong việc phát triển kế hoạch truyền thông tổng thể với các thông điệp rõ ràng phù hợp với các nhóm dân cư khác nhau, bao gồm cả các cơ quan ngành dọc tại địa phương.</w:t>
      </w:r>
      <w:r w:rsidR="00214D54">
        <w:rPr>
          <w:rFonts w:asciiTheme="majorHAnsi" w:hAnsiTheme="majorHAnsi" w:cstheme="majorHAnsi"/>
          <w:color w:val="000000" w:themeColor="text1"/>
          <w:sz w:val="28"/>
          <w:szCs w:val="28"/>
        </w:rPr>
        <w:t xml:space="preserve"> </w:t>
      </w:r>
      <w:r w:rsidRPr="00CD1524">
        <w:rPr>
          <w:rFonts w:asciiTheme="majorHAnsi" w:hAnsiTheme="majorHAnsi" w:cstheme="majorHAnsi"/>
          <w:color w:val="000000" w:themeColor="text1"/>
          <w:sz w:val="28"/>
          <w:szCs w:val="28"/>
        </w:rPr>
        <w:t xml:space="preserve">Chính quyền Trung </w:t>
      </w:r>
      <w:r w:rsidRPr="00CD1524">
        <w:rPr>
          <w:rFonts w:asciiTheme="majorHAnsi" w:hAnsiTheme="majorHAnsi" w:cstheme="majorHAnsi"/>
          <w:color w:val="000000" w:themeColor="text1"/>
          <w:sz w:val="28"/>
          <w:szCs w:val="28"/>
        </w:rPr>
        <w:lastRenderedPageBreak/>
        <w:t>ương có thể tổ chức một số hình thức khen thưởng và vinh danh những cá nhâ</w:t>
      </w:r>
      <w:r w:rsidR="00214D54">
        <w:rPr>
          <w:rFonts w:asciiTheme="majorHAnsi" w:hAnsiTheme="majorHAnsi" w:cstheme="majorHAnsi"/>
          <w:color w:val="000000" w:themeColor="text1"/>
          <w:sz w:val="28"/>
          <w:szCs w:val="28"/>
        </w:rPr>
        <w:t>n</w:t>
      </w:r>
      <w:r w:rsidRPr="00CD1524">
        <w:rPr>
          <w:rFonts w:asciiTheme="majorHAnsi" w:hAnsiTheme="majorHAnsi" w:cstheme="majorHAnsi"/>
          <w:color w:val="000000" w:themeColor="text1"/>
          <w:sz w:val="28"/>
          <w:szCs w:val="28"/>
        </w:rPr>
        <w:t xml:space="preserve"> và tổ chức có đóng góp tích cực trong việc triển khai các chính sách và pháp luật về BHXH vào trong thực tiễn để tăng thêm số lượng người lao động và chủ sử dụng lao động tham gia</w:t>
      </w:r>
      <w:r w:rsidRPr="004206BC">
        <w:rPr>
          <w:rFonts w:asciiTheme="majorHAnsi" w:hAnsiTheme="majorHAnsi" w:cstheme="majorHAnsi"/>
          <w:color w:val="000000" w:themeColor="text1"/>
        </w:rPr>
        <w:t xml:space="preserve"> [BHXH].</w:t>
      </w:r>
      <w:r w:rsidRPr="004206BC">
        <w:rPr>
          <w:rStyle w:val="FootnoteReference"/>
          <w:rFonts w:asciiTheme="majorHAnsi" w:hAnsiTheme="majorHAnsi" w:cstheme="majorHAnsi"/>
          <w:color w:val="000000" w:themeColor="text1"/>
        </w:rPr>
        <w:footnoteReference w:id="14"/>
      </w:r>
    </w:p>
    <w:p w:rsidR="003609FB"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b/>
          <w:color w:val="000000" w:themeColor="text1"/>
          <w:sz w:val="28"/>
          <w:szCs w:val="28"/>
        </w:rPr>
        <w:t>3. Các cách thức mở rộng diện bao phủ bảo hiểm xã hộ</w:t>
      </w:r>
      <w:r w:rsidRPr="001F3F26">
        <w:rPr>
          <w:rFonts w:ascii="Times New Roman" w:hAnsi="Times New Roman" w:cs="Times New Roman"/>
          <w:color w:val="000000" w:themeColor="text1"/>
          <w:sz w:val="28"/>
          <w:szCs w:val="28"/>
        </w:rPr>
        <w:t>i</w:t>
      </w:r>
    </w:p>
    <w:p w:rsidR="00BD2D33" w:rsidRPr="001F3F26" w:rsidRDefault="00BD2D33"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Tương tự như những gì quan sát được tại đa phần các quốc gia OECD, phần lớn các quốc gia trong khu vực đã bắt đầu xây dựng hệ thống hưu trí của quốc gia mình bằng cách kết hợp các chế độ trợ cấp, từ đó mang lại các giải pháp nhiều tầng cung cấp các phương án khác nhau nhằm thúc đẩy công tác mở rộng phạm vi bao phủ của hệ thống theo chiều ngang và chiều dọc.</w:t>
      </w:r>
    </w:p>
    <w:p w:rsidR="00BD2D33" w:rsidRPr="001F3F26" w:rsidRDefault="00BD2D33"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lang w:val="en-GB"/>
        </w:rPr>
        <w:t xml:space="preserve">Các quốc gia như Trung Quốc, Nhật Bản, Hàn Quốc, Thái Lan và Đông Ti-mo là những ví dụ điển hình về những nước đã đạt được tiến bộ trong công tác mở rộng bao phủ theo chiều ngang và chiều dọc thông qua áp dụng các giải pháp đa dạng nhiều cấp độ. Những quốc gia này là những điển hình về việc cách các quốc gia khác nhau đã xây dựng được lối đi riêng cho quốc gia mình dựa vào bối cảnh kinh tế xã hội và chính trị. </w:t>
      </w:r>
    </w:p>
    <w:p w:rsidR="00BD2D33" w:rsidRPr="001F3F26" w:rsidRDefault="001473E4" w:rsidP="001F3F26">
      <w:pPr>
        <w:spacing w:before="120" w:after="0"/>
        <w:ind w:firstLine="720"/>
        <w:jc w:val="both"/>
        <w:rPr>
          <w:rFonts w:ascii="Times New Roman" w:hAnsi="Times New Roman" w:cs="Times New Roman"/>
          <w:b/>
          <w:i/>
          <w:sz w:val="28"/>
          <w:lang w:val="en-GB"/>
        </w:rPr>
      </w:pPr>
      <w:r>
        <w:rPr>
          <w:rFonts w:ascii="Times New Roman" w:hAnsi="Times New Roman" w:cs="Times New Roman"/>
          <w:b/>
          <w:i/>
          <w:sz w:val="28"/>
          <w:lang w:val="en-GB"/>
        </w:rPr>
        <w:t>3.1.</w:t>
      </w:r>
      <w:r w:rsidR="00BD2D33" w:rsidRPr="001F3F26">
        <w:rPr>
          <w:rFonts w:ascii="Times New Roman" w:hAnsi="Times New Roman" w:cs="Times New Roman"/>
          <w:b/>
          <w:i/>
          <w:sz w:val="28"/>
          <w:lang w:val="en-GB"/>
        </w:rPr>
        <w:t xml:space="preserve"> Mở rộng theo chiều ngang </w:t>
      </w:r>
    </w:p>
    <w:p w:rsidR="00BD2D33" w:rsidRPr="001F3F26" w:rsidRDefault="00BD2D33"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lang w:val="en-GB"/>
        </w:rPr>
        <w:t xml:space="preserve">Năm 2006, Đông Ti-mo đã bắt đầu khởi động quỹ hưu trí toàn dân được chi trả bằng ngân sách thuế cho người khuyết tật trên 60 tuổi. Sau đó vào năm </w:t>
      </w:r>
      <w:r w:rsidRPr="001F3F26">
        <w:rPr>
          <w:rFonts w:ascii="Times New Roman" w:hAnsi="Times New Roman" w:cs="Times New Roman"/>
          <w:sz w:val="28"/>
        </w:rPr>
        <w:t>2012, nước này đã xây dựng Chế độ an sinh xã hội tạm thời là một chế độ hưu trí không đóng góp dành cho công chức với các khoản trợ cấp thu nhập. Trong năm 2017, Đông Ti</w:t>
      </w:r>
      <w:r w:rsidRPr="001F3F26">
        <w:rPr>
          <w:rFonts w:ascii="Times New Roman" w:hAnsi="Times New Roman" w:cs="Times New Roman"/>
          <w:sz w:val="28"/>
          <w:lang w:val="en-GB"/>
        </w:rPr>
        <w:t>-</w:t>
      </w:r>
      <w:r w:rsidRPr="001F3F26">
        <w:rPr>
          <w:rFonts w:ascii="Times New Roman" w:hAnsi="Times New Roman" w:cs="Times New Roman"/>
          <w:sz w:val="28"/>
        </w:rPr>
        <w:t xml:space="preserve">mo sẽ giới thiệu </w:t>
      </w:r>
      <w:r w:rsidRPr="001F3F26">
        <w:rPr>
          <w:rFonts w:ascii="Times New Roman" w:hAnsi="Times New Roman" w:cs="Times New Roman"/>
          <w:sz w:val="28"/>
          <w:lang w:val="en-GB"/>
        </w:rPr>
        <w:t>quỹ</w:t>
      </w:r>
      <w:r w:rsidRPr="001F3F26">
        <w:rPr>
          <w:rFonts w:ascii="Times New Roman" w:hAnsi="Times New Roman" w:cs="Times New Roman"/>
          <w:sz w:val="28"/>
        </w:rPr>
        <w:t xml:space="preserve"> bảo hiểm xã hội DB quy định đóng bảo hiểm cho người lao động chính thức trong khu vực tư; </w:t>
      </w:r>
      <w:r w:rsidRPr="001F3F26">
        <w:rPr>
          <w:rFonts w:ascii="Times New Roman" w:hAnsi="Times New Roman" w:cs="Times New Roman"/>
          <w:sz w:val="28"/>
          <w:lang w:val="en-GB"/>
        </w:rPr>
        <w:t>qũy</w:t>
      </w:r>
      <w:r w:rsidRPr="001F3F26">
        <w:rPr>
          <w:rFonts w:ascii="Times New Roman" w:hAnsi="Times New Roman" w:cs="Times New Roman"/>
          <w:sz w:val="28"/>
        </w:rPr>
        <w:t xml:space="preserve"> này cũng sẽ được áp dụng </w:t>
      </w:r>
      <w:r w:rsidRPr="001F3F26">
        <w:rPr>
          <w:rFonts w:ascii="Times New Roman" w:hAnsi="Times New Roman" w:cs="Times New Roman"/>
          <w:sz w:val="28"/>
          <w:lang w:val="en-GB"/>
        </w:rPr>
        <w:t>bình đẳng</w:t>
      </w:r>
      <w:r w:rsidRPr="001F3F26">
        <w:rPr>
          <w:rFonts w:ascii="Times New Roman" w:hAnsi="Times New Roman" w:cs="Times New Roman"/>
          <w:sz w:val="28"/>
        </w:rPr>
        <w:t xml:space="preserve"> với đối tượng là công chức. Các đối tượng được hưởng trợ cấp theo chế độ mới này sẽ không được nhận trợ cấp từ </w:t>
      </w: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xã hội </w:t>
      </w:r>
      <w:r w:rsidRPr="001F3F26">
        <w:rPr>
          <w:rFonts w:ascii="Times New Roman" w:hAnsi="Times New Roman" w:cs="Times New Roman"/>
          <w:sz w:val="28"/>
          <w:lang w:val="en-GB"/>
        </w:rPr>
        <w:t>do</w:t>
      </w:r>
      <w:r w:rsidRPr="001F3F26">
        <w:rPr>
          <w:rFonts w:ascii="Times New Roman" w:hAnsi="Times New Roman" w:cs="Times New Roman"/>
          <w:sz w:val="28"/>
        </w:rPr>
        <w:t xml:space="preserve"> nguồn thu thuế</w:t>
      </w:r>
      <w:r w:rsidRPr="001F3F26">
        <w:rPr>
          <w:rFonts w:ascii="Times New Roman" w:hAnsi="Times New Roman" w:cs="Times New Roman"/>
          <w:sz w:val="28"/>
          <w:lang w:val="en-GB"/>
        </w:rPr>
        <w:t xml:space="preserve"> chi trả</w:t>
      </w:r>
      <w:r w:rsidRPr="001F3F26">
        <w:rPr>
          <w:rFonts w:ascii="Times New Roman" w:hAnsi="Times New Roman" w:cs="Times New Roman"/>
          <w:sz w:val="28"/>
        </w:rPr>
        <w:t xml:space="preserve">. Trên thực tế, chế độ này đã biến </w:t>
      </w:r>
      <w:r w:rsidRPr="001F3F26">
        <w:rPr>
          <w:rFonts w:ascii="Times New Roman" w:hAnsi="Times New Roman" w:cs="Times New Roman"/>
          <w:sz w:val="28"/>
          <w:lang w:val="en-GB"/>
        </w:rPr>
        <w:t>quỹ</w:t>
      </w:r>
      <w:r w:rsidRPr="001F3F26">
        <w:rPr>
          <w:rFonts w:ascii="Times New Roman" w:hAnsi="Times New Roman" w:cs="Times New Roman"/>
          <w:sz w:val="28"/>
        </w:rPr>
        <w:t xml:space="preserve"> trợ cấp từ nguồn thu thuế trở thành </w:t>
      </w:r>
      <w:r w:rsidRPr="001F3F26">
        <w:rPr>
          <w:rFonts w:ascii="Times New Roman" w:hAnsi="Times New Roman" w:cs="Times New Roman"/>
          <w:sz w:val="28"/>
          <w:lang w:val="en-GB"/>
        </w:rPr>
        <w:t>quỹ</w:t>
      </w:r>
      <w:r w:rsidRPr="001F3F26">
        <w:rPr>
          <w:rFonts w:ascii="Times New Roman" w:hAnsi="Times New Roman" w:cs="Times New Roman"/>
          <w:sz w:val="28"/>
        </w:rPr>
        <w:t xml:space="preserve"> thẩm tra hưu trí.</w:t>
      </w:r>
    </w:p>
    <w:p w:rsidR="00BD2D33" w:rsidRPr="001F3F26" w:rsidRDefault="00BD2D33"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rPr>
        <w:t xml:space="preserve">Cách thức tiếp cận này tại Thái Lan lại có điểm khác biệt. Đầu tiên, Chính phủ nước này đã cho khởi động </w:t>
      </w:r>
      <w:r w:rsidRPr="001F3F26">
        <w:rPr>
          <w:rFonts w:ascii="Times New Roman" w:hAnsi="Times New Roman" w:cs="Times New Roman"/>
          <w:sz w:val="28"/>
          <w:lang w:val="en-GB"/>
        </w:rPr>
        <w:t>quỹ</w:t>
      </w:r>
      <w:r w:rsidRPr="001F3F26">
        <w:rPr>
          <w:rFonts w:ascii="Times New Roman" w:hAnsi="Times New Roman" w:cs="Times New Roman"/>
          <w:sz w:val="28"/>
        </w:rPr>
        <w:t xml:space="preserve"> bảo hiểm xã hội DB do Văn phòng An sinh Xã hội thực hiện. Do phạm vi bao phủ những người trong độ tuổi đủ điều kiện hưởng trợ cấp còn hạn chế, nguyên nhân là vì số lượng người lao động trong lĩnh vực không chính thức đứng ở mức cao kết hợp với thực tế do các điều kiện đánh giá </w:t>
      </w:r>
      <w:r w:rsidRPr="001F3F26">
        <w:rPr>
          <w:rFonts w:ascii="Times New Roman" w:hAnsi="Times New Roman" w:cs="Times New Roman"/>
          <w:sz w:val="28"/>
          <w:lang w:val="en-GB"/>
        </w:rPr>
        <w:t xml:space="preserve">nên </w:t>
      </w:r>
      <w:r w:rsidRPr="001F3F26">
        <w:rPr>
          <w:rFonts w:ascii="Times New Roman" w:hAnsi="Times New Roman" w:cs="Times New Roman"/>
          <w:sz w:val="28"/>
        </w:rPr>
        <w:t>hệ thống này đã phải mất ít nhất 15 năm để chi trả khoản lương hưu đầu tiên</w:t>
      </w:r>
      <w:r w:rsidRPr="001F3F26">
        <w:rPr>
          <w:rFonts w:ascii="Times New Roman" w:hAnsi="Times New Roman" w:cs="Times New Roman"/>
          <w:sz w:val="28"/>
          <w:lang w:val="en-GB"/>
        </w:rPr>
        <w:t>. Do đó,</w:t>
      </w:r>
      <w:r w:rsidRPr="001F3F26">
        <w:rPr>
          <w:rFonts w:ascii="Times New Roman" w:hAnsi="Times New Roman" w:cs="Times New Roman"/>
          <w:sz w:val="28"/>
        </w:rPr>
        <w:t xml:space="preserve"> chính phủ Thái Lan đã cho xây dựng </w:t>
      </w: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thẩm tra thu nhập (Phụ cấp </w:t>
      </w:r>
      <w:r w:rsidRPr="001F3F26">
        <w:rPr>
          <w:rFonts w:ascii="Times New Roman" w:hAnsi="Times New Roman" w:cs="Times New Roman"/>
          <w:sz w:val="28"/>
          <w:lang w:val="en-GB"/>
        </w:rPr>
        <w:t>cao tuổi</w:t>
      </w:r>
      <w:r w:rsidRPr="001F3F26">
        <w:rPr>
          <w:rFonts w:ascii="Times New Roman" w:hAnsi="Times New Roman" w:cs="Times New Roman"/>
          <w:sz w:val="28"/>
        </w:rPr>
        <w:t xml:space="preserve"> - OAA), sau này đã được chuyển thành </w:t>
      </w: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toàn dân. </w:t>
      </w:r>
      <w:r w:rsidRPr="001F3F26">
        <w:rPr>
          <w:rFonts w:ascii="Times New Roman" w:hAnsi="Times New Roman" w:cs="Times New Roman"/>
          <w:sz w:val="28"/>
          <w:lang w:val="en-GB"/>
        </w:rPr>
        <w:lastRenderedPageBreak/>
        <w:t xml:space="preserve">Các đối tượng hưu trí trong </w:t>
      </w:r>
      <w:r w:rsidRPr="001F3F26">
        <w:rPr>
          <w:rFonts w:ascii="Times New Roman" w:hAnsi="Times New Roman" w:cs="Times New Roman"/>
          <w:sz w:val="28"/>
        </w:rPr>
        <w:t>SSO</w:t>
      </w:r>
      <w:r w:rsidRPr="001F3F26">
        <w:rPr>
          <w:rFonts w:ascii="Times New Roman" w:hAnsi="Times New Roman" w:cs="Times New Roman"/>
          <w:sz w:val="28"/>
          <w:lang w:val="en-GB"/>
        </w:rPr>
        <w:t xml:space="preserve"> có thể cộng dồn lương hưu từ SSO qua </w:t>
      </w:r>
      <w:r w:rsidRPr="001F3F26">
        <w:rPr>
          <w:rFonts w:ascii="Times New Roman" w:hAnsi="Times New Roman" w:cs="Times New Roman"/>
          <w:sz w:val="28"/>
        </w:rPr>
        <w:t>OOA và trong bối cảnh mức chi trả ban đầu của SSO còn th</w:t>
      </w:r>
      <w:r w:rsidRPr="001F3F26">
        <w:rPr>
          <w:rFonts w:ascii="Times New Roman" w:hAnsi="Times New Roman" w:cs="Times New Roman"/>
          <w:sz w:val="28"/>
          <w:lang w:val="en-GB"/>
        </w:rPr>
        <w:t>ấp thì đây là một biện pháp quan trọng đảm bảo sự phù hợp của trợ cấp</w:t>
      </w:r>
      <w:r w:rsidRPr="001F3F26">
        <w:rPr>
          <w:rFonts w:ascii="Times New Roman" w:hAnsi="Times New Roman" w:cs="Times New Roman"/>
          <w:sz w:val="28"/>
        </w:rPr>
        <w:t>.</w:t>
      </w:r>
    </w:p>
    <w:p w:rsidR="008D7101" w:rsidRDefault="00BD2D33" w:rsidP="001F3F26">
      <w:pPr>
        <w:spacing w:before="120" w:after="0"/>
        <w:ind w:firstLine="720"/>
        <w:jc w:val="both"/>
        <w:rPr>
          <w:rFonts w:ascii="Times New Roman" w:eastAsia="Malgun Gothic" w:hAnsi="Times New Roman" w:cs="Times New Roman"/>
          <w:sz w:val="28"/>
          <w:lang w:eastAsia="ko-KR"/>
        </w:rPr>
      </w:pPr>
      <w:r w:rsidRPr="001F3F26">
        <w:rPr>
          <w:rFonts w:ascii="Times New Roman" w:hAnsi="Times New Roman" w:cs="Times New Roman"/>
          <w:sz w:val="28"/>
        </w:rPr>
        <w:t xml:space="preserve">Nhật Bản đã xây dựng một hệ thống hưu trí có phạm vi bao phủ toàn dân dựa trên hệ thống đa </w:t>
      </w:r>
      <w:r w:rsidRPr="001F3F26">
        <w:rPr>
          <w:rFonts w:ascii="Times New Roman" w:hAnsi="Times New Roman" w:cs="Times New Roman"/>
          <w:sz w:val="28"/>
          <w:lang w:val="en-GB"/>
        </w:rPr>
        <w:t>cấp độ</w:t>
      </w:r>
      <w:r w:rsidRPr="001F3F26">
        <w:rPr>
          <w:rFonts w:ascii="Times New Roman" w:hAnsi="Times New Roman" w:cs="Times New Roman"/>
          <w:sz w:val="28"/>
        </w:rPr>
        <w:t xml:space="preserve"> gồm nhiều chương trình công và tư. </w:t>
      </w:r>
      <w:r w:rsidRPr="001F3F26">
        <w:rPr>
          <w:rFonts w:ascii="Times New Roman" w:hAnsi="Times New Roman" w:cs="Times New Roman"/>
          <w:sz w:val="28"/>
          <w:lang w:val="en-GB"/>
        </w:rPr>
        <w:t>Cấp độ thứ nhất</w:t>
      </w:r>
      <w:r w:rsidRPr="001F3F26">
        <w:rPr>
          <w:rFonts w:ascii="Times New Roman" w:hAnsi="Times New Roman" w:cs="Times New Roman"/>
          <w:sz w:val="28"/>
        </w:rPr>
        <w:t xml:space="preserve"> là </w:t>
      </w: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quốc gia</w:t>
      </w:r>
      <w:r w:rsidRPr="001F3F26">
        <w:rPr>
          <w:rFonts w:ascii="Times New Roman" w:eastAsia="Malgun Gothic" w:hAnsi="Times New Roman" w:cs="Times New Roman"/>
          <w:sz w:val="28"/>
          <w:lang w:val="en-GB" w:eastAsia="ko-KR"/>
        </w:rPr>
        <w:t>, quỹ hưu trí cơ bản có sự tham gia của mọi người dân trong độ tuổi lao động</w:t>
      </w:r>
      <w:r w:rsidRPr="001F3F26">
        <w:rPr>
          <w:rFonts w:ascii="Times New Roman" w:eastAsia="Malgun Gothic" w:hAnsi="Times New Roman" w:cs="Times New Roman"/>
          <w:sz w:val="28"/>
          <w:lang w:eastAsia="ko-KR"/>
        </w:rPr>
        <w:t xml:space="preserve">. </w:t>
      </w:r>
      <w:r w:rsidRPr="001F3F26">
        <w:rPr>
          <w:rFonts w:ascii="Times New Roman" w:eastAsia="Malgun Gothic" w:hAnsi="Times New Roman" w:cs="Times New Roman"/>
          <w:sz w:val="28"/>
          <w:lang w:val="en-GB" w:eastAsia="ko-KR"/>
        </w:rPr>
        <w:t>Việc tham gia quỹ</w:t>
      </w:r>
      <w:r w:rsidRPr="001F3F26">
        <w:rPr>
          <w:rFonts w:ascii="Times New Roman" w:eastAsia="Malgun Gothic" w:hAnsi="Times New Roman" w:cs="Times New Roman"/>
          <w:sz w:val="28"/>
          <w:lang w:eastAsia="ko-KR"/>
        </w:rPr>
        <w:t xml:space="preserve"> này </w:t>
      </w:r>
      <w:r w:rsidRPr="001F3F26">
        <w:rPr>
          <w:rFonts w:ascii="Times New Roman" w:eastAsia="Malgun Gothic" w:hAnsi="Times New Roman" w:cs="Times New Roman"/>
          <w:sz w:val="28"/>
          <w:lang w:val="en-GB" w:eastAsia="ko-KR"/>
        </w:rPr>
        <w:t>là quy định</w:t>
      </w:r>
      <w:r w:rsidRPr="001F3F26">
        <w:rPr>
          <w:rFonts w:ascii="Times New Roman" w:eastAsia="Malgun Gothic" w:hAnsi="Times New Roman" w:cs="Times New Roman"/>
          <w:sz w:val="28"/>
          <w:lang w:eastAsia="ko-KR"/>
        </w:rPr>
        <w:t xml:space="preserve"> bắt buộc đối với tất cả mọi người và </w:t>
      </w:r>
      <w:r w:rsidRPr="001F3F26">
        <w:rPr>
          <w:rFonts w:ascii="Times New Roman" w:eastAsia="Malgun Gothic" w:hAnsi="Times New Roman" w:cs="Times New Roman"/>
          <w:sz w:val="28"/>
          <w:lang w:val="en-GB" w:eastAsia="ko-KR"/>
        </w:rPr>
        <w:t>quỹ chi trả</w:t>
      </w:r>
      <w:r w:rsidRPr="001F3F26">
        <w:rPr>
          <w:rFonts w:ascii="Times New Roman" w:eastAsia="Malgun Gothic" w:hAnsi="Times New Roman" w:cs="Times New Roman"/>
          <w:sz w:val="28"/>
          <w:lang w:eastAsia="ko-KR"/>
        </w:rPr>
        <w:t xml:space="preserve"> trợ cấp xác định dựa trên hệ thống PAYG. Các hệ thống hưu trí của Nhật Bản quản lý đối tượng bảo hiểm theo ba nhóm dựa trên điều kiệ</w:t>
      </w:r>
      <w:r w:rsidR="008D7101">
        <w:rPr>
          <w:rFonts w:ascii="Times New Roman" w:eastAsia="Malgun Gothic" w:hAnsi="Times New Roman" w:cs="Times New Roman"/>
          <w:sz w:val="28"/>
          <w:lang w:eastAsia="ko-KR"/>
        </w:rPr>
        <w:t xml:space="preserve">n cá nhân. </w:t>
      </w:r>
    </w:p>
    <w:p w:rsidR="008D7101" w:rsidRDefault="008D7101" w:rsidP="001F3F26">
      <w:pPr>
        <w:spacing w:before="120" w:after="0"/>
        <w:ind w:firstLine="720"/>
        <w:jc w:val="both"/>
        <w:rPr>
          <w:rFonts w:ascii="Times New Roman" w:eastAsia="Malgun Gothic" w:hAnsi="Times New Roman" w:cs="Times New Roman"/>
          <w:sz w:val="28"/>
          <w:lang w:eastAsia="ko-KR"/>
        </w:rPr>
      </w:pPr>
      <w:r>
        <w:rPr>
          <w:rFonts w:ascii="Times New Roman" w:eastAsia="Malgun Gothic" w:hAnsi="Times New Roman" w:cs="Times New Roman"/>
          <w:sz w:val="28"/>
          <w:lang w:eastAsia="ko-KR"/>
        </w:rPr>
        <w:t>“</w:t>
      </w:r>
      <w:r w:rsidR="00BD2D33" w:rsidRPr="001F3F26">
        <w:rPr>
          <w:rFonts w:ascii="Times New Roman" w:eastAsia="Malgun Gothic" w:hAnsi="Times New Roman" w:cs="Times New Roman"/>
          <w:sz w:val="28"/>
          <w:lang w:eastAsia="ko-KR"/>
        </w:rPr>
        <w:t>Đối tượng bảo hiểm Nhóm 1</w:t>
      </w:r>
      <w:r>
        <w:rPr>
          <w:rFonts w:ascii="Times New Roman" w:eastAsia="Malgun Gothic" w:hAnsi="Times New Roman" w:cs="Times New Roman"/>
          <w:sz w:val="28"/>
          <w:lang w:eastAsia="ko-KR"/>
        </w:rPr>
        <w:t>”</w:t>
      </w:r>
      <w:r w:rsidR="00BD2D33" w:rsidRPr="001F3F26">
        <w:rPr>
          <w:rFonts w:ascii="Times New Roman" w:eastAsia="Malgun Gothic" w:hAnsi="Times New Roman" w:cs="Times New Roman"/>
          <w:sz w:val="28"/>
          <w:lang w:eastAsia="ko-KR"/>
        </w:rPr>
        <w:t xml:space="preserve"> bao gồm toàn bộ cư dân có đăng ký hợp pháp tại Nhật Bản trong độ tuổi trên 20 và dưới 60. Những người làm nghệ tự do, nông dân, học sinh, sinh viên, thất nghiệp cũng nằm trong nhóm này. </w:t>
      </w:r>
    </w:p>
    <w:p w:rsidR="008D7101" w:rsidRDefault="008D7101" w:rsidP="001F3F26">
      <w:pPr>
        <w:spacing w:before="120" w:after="0"/>
        <w:ind w:firstLine="720"/>
        <w:jc w:val="both"/>
        <w:rPr>
          <w:rFonts w:ascii="Times New Roman" w:eastAsia="Malgun Gothic" w:hAnsi="Times New Roman" w:cs="Times New Roman"/>
          <w:sz w:val="28"/>
          <w:lang w:eastAsia="ko-KR"/>
        </w:rPr>
      </w:pPr>
      <w:r>
        <w:rPr>
          <w:rFonts w:ascii="Times New Roman" w:eastAsia="Malgun Gothic" w:hAnsi="Times New Roman" w:cs="Times New Roman"/>
          <w:sz w:val="28"/>
          <w:lang w:eastAsia="ko-KR"/>
        </w:rPr>
        <w:t>“</w:t>
      </w:r>
      <w:r w:rsidR="00BD2D33" w:rsidRPr="001F3F26">
        <w:rPr>
          <w:rFonts w:ascii="Times New Roman" w:eastAsia="Malgun Gothic" w:hAnsi="Times New Roman" w:cs="Times New Roman"/>
          <w:sz w:val="28"/>
          <w:lang w:eastAsia="ko-KR"/>
        </w:rPr>
        <w:t>Đối tượng bảo hiể</w:t>
      </w:r>
      <w:r>
        <w:rPr>
          <w:rFonts w:ascii="Times New Roman" w:eastAsia="Malgun Gothic" w:hAnsi="Times New Roman" w:cs="Times New Roman"/>
          <w:sz w:val="28"/>
          <w:lang w:eastAsia="ko-KR"/>
        </w:rPr>
        <w:t>m Nhóm 2”</w:t>
      </w:r>
      <w:r w:rsidR="00BD2D33" w:rsidRPr="001F3F26">
        <w:rPr>
          <w:rFonts w:ascii="Times New Roman" w:eastAsia="Malgun Gothic" w:hAnsi="Times New Roman" w:cs="Times New Roman"/>
          <w:sz w:val="28"/>
          <w:lang w:eastAsia="ko-KR"/>
        </w:rPr>
        <w:t xml:space="preserve"> bao gồm người lao động trong lĩnh vực tư nhân và làm việc cho chính phủ. </w:t>
      </w:r>
    </w:p>
    <w:p w:rsidR="008D7101" w:rsidRDefault="00BD2D33" w:rsidP="001F3F26">
      <w:pPr>
        <w:spacing w:before="120" w:after="0"/>
        <w:ind w:firstLine="720"/>
        <w:jc w:val="both"/>
        <w:rPr>
          <w:rFonts w:ascii="Times New Roman" w:hAnsi="Times New Roman" w:cs="Times New Roman"/>
          <w:sz w:val="28"/>
        </w:rPr>
      </w:pPr>
      <w:r w:rsidRPr="001F3F26">
        <w:rPr>
          <w:rFonts w:ascii="Times New Roman" w:eastAsia="Malgun Gothic" w:hAnsi="Times New Roman" w:cs="Times New Roman"/>
          <w:sz w:val="28"/>
          <w:lang w:eastAsia="ko-KR"/>
        </w:rPr>
        <w:t xml:space="preserve">Cuối cùng là </w:t>
      </w:r>
      <w:r w:rsidR="008D7101">
        <w:rPr>
          <w:rFonts w:ascii="Times New Roman" w:eastAsia="Malgun Gothic" w:hAnsi="Times New Roman" w:cs="Times New Roman"/>
          <w:sz w:val="28"/>
          <w:lang w:eastAsia="ko-KR"/>
        </w:rPr>
        <w:t>“Đ</w:t>
      </w:r>
      <w:r w:rsidRPr="001F3F26">
        <w:rPr>
          <w:rFonts w:ascii="Times New Roman" w:eastAsia="Malgun Gothic" w:hAnsi="Times New Roman" w:cs="Times New Roman"/>
          <w:sz w:val="28"/>
          <w:lang w:eastAsia="ko-KR"/>
        </w:rPr>
        <w:t>ối tượng bảo hiểm Nhóm 3</w:t>
      </w:r>
      <w:r w:rsidR="008D7101">
        <w:rPr>
          <w:rFonts w:ascii="Times New Roman" w:eastAsia="Malgun Gothic" w:hAnsi="Times New Roman" w:cs="Times New Roman"/>
          <w:sz w:val="28"/>
          <w:lang w:eastAsia="ko-KR"/>
        </w:rPr>
        <w:t>”</w:t>
      </w:r>
      <w:r w:rsidRPr="001F3F26">
        <w:rPr>
          <w:rFonts w:ascii="Times New Roman" w:eastAsia="Malgun Gothic" w:hAnsi="Times New Roman" w:cs="Times New Roman"/>
          <w:sz w:val="28"/>
          <w:lang w:eastAsia="ko-KR"/>
        </w:rPr>
        <w:t xml:space="preserve"> bao gồm bạn đời phụ thuộc của ‘đối tượng bảo hiểm Nhóm 2’ trong độ tuổi trên 20 và dưới 60.</w:t>
      </w:r>
      <w:r w:rsidRPr="001F3F26">
        <w:rPr>
          <w:rFonts w:ascii="Times New Roman" w:hAnsi="Times New Roman" w:cs="Times New Roman"/>
          <w:sz w:val="28"/>
        </w:rPr>
        <w:t xml:space="preserve"> </w:t>
      </w:r>
    </w:p>
    <w:p w:rsidR="00BD2D33" w:rsidRPr="001F3F26" w:rsidRDefault="00BD2D33" w:rsidP="001F3F26">
      <w:pPr>
        <w:spacing w:before="120" w:after="0"/>
        <w:ind w:firstLine="720"/>
        <w:jc w:val="both"/>
        <w:rPr>
          <w:rFonts w:ascii="Times New Roman" w:eastAsia="Malgun Gothic" w:hAnsi="Times New Roman" w:cs="Times New Roman"/>
          <w:sz w:val="28"/>
          <w:lang w:eastAsia="ko-KR"/>
        </w:rPr>
      </w:pP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quốc gia được áp dụng cho tất cả cư dân trong độ tuổi từ 20 tới 60 </w:t>
      </w:r>
      <w:r w:rsidRPr="001F3F26">
        <w:rPr>
          <w:rFonts w:ascii="Times New Roman" w:eastAsia="Malgun Gothic" w:hAnsi="Times New Roman" w:cs="Times New Roman"/>
          <w:sz w:val="28"/>
          <w:lang w:eastAsia="ko-KR"/>
        </w:rPr>
        <w:t xml:space="preserve">(Nhóm 1, 2 và 3). Đây là chương trình bắt buộc đối với tất cả người dân bất kể thu nhập hay </w:t>
      </w:r>
      <w:r w:rsidRPr="001F3F26">
        <w:rPr>
          <w:rFonts w:ascii="Times New Roman" w:eastAsia="Malgun Gothic" w:hAnsi="Times New Roman" w:cs="Times New Roman"/>
          <w:sz w:val="28"/>
          <w:lang w:val="en-GB" w:eastAsia="ko-KR"/>
        </w:rPr>
        <w:t>tài sản</w:t>
      </w:r>
      <w:r w:rsidRPr="001F3F26">
        <w:rPr>
          <w:rFonts w:ascii="Times New Roman" w:eastAsia="Malgun Gothic" w:hAnsi="Times New Roman" w:cs="Times New Roman"/>
          <w:sz w:val="28"/>
          <w:lang w:eastAsia="ko-KR"/>
        </w:rPr>
        <w:t xml:space="preserve"> và cung cấp cho người dân các khoản trợ cấp hưu trí, tử tuất và trợ cấp khuyết tật. Các khoản trợ cấp được quy định theo mức cố định: 65.000 Yên Nhật một tháng (trợ cấp hưu trí dựa trên 40 năm đóng góp hoặc được miễn đóng góp). Mức trợ cấp này sẽ giảm </w:t>
      </w:r>
      <w:r w:rsidRPr="001F3F26">
        <w:rPr>
          <w:rFonts w:ascii="Times New Roman" w:eastAsia="Malgun Gothic" w:hAnsi="Times New Roman" w:cs="Times New Roman"/>
          <w:sz w:val="28"/>
          <w:lang w:val="en-GB" w:eastAsia="ko-KR"/>
        </w:rPr>
        <w:t>nếu thờ</w:t>
      </w:r>
      <w:r w:rsidR="008D7101">
        <w:rPr>
          <w:rFonts w:ascii="Times New Roman" w:eastAsia="Malgun Gothic" w:hAnsi="Times New Roman" w:cs="Times New Roman"/>
          <w:sz w:val="28"/>
          <w:lang w:val="en-GB" w:eastAsia="ko-KR"/>
        </w:rPr>
        <w:t>i gian t</w:t>
      </w:r>
      <w:r w:rsidRPr="001F3F26">
        <w:rPr>
          <w:rFonts w:ascii="Times New Roman" w:eastAsia="Malgun Gothic" w:hAnsi="Times New Roman" w:cs="Times New Roman"/>
          <w:sz w:val="28"/>
          <w:lang w:val="en-GB" w:eastAsia="ko-KR"/>
        </w:rPr>
        <w:t>ham gia dưới</w:t>
      </w:r>
      <w:r w:rsidRPr="001F3F26">
        <w:rPr>
          <w:rFonts w:ascii="Times New Roman" w:eastAsia="Malgun Gothic" w:hAnsi="Times New Roman" w:cs="Times New Roman"/>
          <w:sz w:val="28"/>
          <w:lang w:eastAsia="ko-KR"/>
        </w:rPr>
        <w:t xml:space="preserve"> 40 năm. Mức trợ cấp được điều chỉnh hàng năm theo tình trạng lạm phát và mức tăng thu nhập của năm trước đó. Để được hưởng trợ cấp hưu trí, m</w:t>
      </w:r>
      <w:r w:rsidRPr="001F3F26">
        <w:rPr>
          <w:rFonts w:ascii="Times New Roman" w:eastAsia="Malgun Gothic" w:hAnsi="Times New Roman" w:cs="Times New Roman"/>
          <w:sz w:val="28"/>
          <w:lang w:val="en-GB" w:eastAsia="ko-KR"/>
        </w:rPr>
        <w:t>ỗi</w:t>
      </w:r>
      <w:r w:rsidRPr="001F3F26">
        <w:rPr>
          <w:rFonts w:ascii="Times New Roman" w:eastAsia="Malgun Gothic" w:hAnsi="Times New Roman" w:cs="Times New Roman"/>
          <w:sz w:val="28"/>
          <w:lang w:eastAsia="ko-KR"/>
        </w:rPr>
        <w:t xml:space="preserve"> người</w:t>
      </w:r>
      <w:r w:rsidRPr="001F3F26">
        <w:rPr>
          <w:rFonts w:ascii="Times New Roman" w:eastAsia="Malgun Gothic" w:hAnsi="Times New Roman" w:cs="Times New Roman"/>
          <w:sz w:val="28"/>
          <w:lang w:val="en-GB" w:eastAsia="ko-KR"/>
        </w:rPr>
        <w:t xml:space="preserve"> dân</w:t>
      </w:r>
      <w:r w:rsidRPr="001F3F26">
        <w:rPr>
          <w:rFonts w:ascii="Times New Roman" w:eastAsia="Malgun Gothic" w:hAnsi="Times New Roman" w:cs="Times New Roman"/>
          <w:sz w:val="28"/>
          <w:lang w:eastAsia="ko-KR"/>
        </w:rPr>
        <w:t xml:space="preserve"> phải </w:t>
      </w:r>
      <w:r w:rsidRPr="001F3F26">
        <w:rPr>
          <w:rFonts w:ascii="Times New Roman" w:eastAsia="Malgun Gothic" w:hAnsi="Times New Roman" w:cs="Times New Roman"/>
          <w:sz w:val="28"/>
          <w:lang w:val="en-GB" w:eastAsia="ko-KR"/>
        </w:rPr>
        <w:t>tham gia đóng phí</w:t>
      </w:r>
      <w:r w:rsidRPr="001F3F26">
        <w:rPr>
          <w:rFonts w:ascii="Times New Roman" w:eastAsia="Malgun Gothic" w:hAnsi="Times New Roman" w:cs="Times New Roman"/>
          <w:sz w:val="28"/>
          <w:lang w:eastAsia="ko-KR"/>
        </w:rPr>
        <w:t xml:space="preserve"> hoặc được miễn </w:t>
      </w:r>
      <w:r w:rsidRPr="001F3F26">
        <w:rPr>
          <w:rFonts w:ascii="Times New Roman" w:eastAsia="Malgun Gothic" w:hAnsi="Times New Roman" w:cs="Times New Roman"/>
          <w:sz w:val="28"/>
          <w:lang w:val="en-GB" w:eastAsia="ko-KR"/>
        </w:rPr>
        <w:t>đóng phí</w:t>
      </w:r>
      <w:r w:rsidRPr="001F3F26">
        <w:rPr>
          <w:rFonts w:ascii="Times New Roman" w:eastAsia="Malgun Gothic" w:hAnsi="Times New Roman" w:cs="Times New Roman"/>
          <w:sz w:val="28"/>
          <w:lang w:eastAsia="ko-KR"/>
        </w:rPr>
        <w:t xml:space="preserve"> trong khoảng thời gian không dưới 10 năm. Độ tuổi nghỉ hưu hiện tại là 65.</w:t>
      </w:r>
    </w:p>
    <w:p w:rsidR="00BD2D33" w:rsidRPr="001F3F26" w:rsidRDefault="00BD2D33"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lang w:val="en-GB" w:eastAsia="ko-KR"/>
        </w:rPr>
        <w:t>Quỹ</w:t>
      </w:r>
      <w:r w:rsidRPr="001F3F26">
        <w:rPr>
          <w:rFonts w:ascii="Times New Roman" w:hAnsi="Times New Roman" w:cs="Times New Roman"/>
          <w:sz w:val="28"/>
          <w:lang w:eastAsia="ko-KR"/>
        </w:rPr>
        <w:t xml:space="preserve"> Hưu trí quốc gia được thực hiện bắt buộc đối với mọi người dân trong độ tuổi từ 20 tới 64 </w:t>
      </w:r>
      <w:r w:rsidRPr="001F3F26">
        <w:rPr>
          <w:rFonts w:ascii="Times New Roman" w:hAnsi="Times New Roman" w:cs="Times New Roman"/>
          <w:sz w:val="28"/>
          <w:lang w:val="en-GB" w:eastAsia="ko-KR"/>
        </w:rPr>
        <w:t>nhưng cũng quy định miễn đóng phí cho một số trường hợp</w:t>
      </w:r>
      <w:r w:rsidRPr="001F3F26">
        <w:rPr>
          <w:rFonts w:ascii="Times New Roman" w:hAnsi="Times New Roman" w:cs="Times New Roman"/>
          <w:sz w:val="28"/>
          <w:lang w:eastAsia="ko-KR"/>
        </w:rPr>
        <w:t xml:space="preserve">. Những đối tượng được hưởng trợ cấp hưu trí cơ bản cho người khuyết tật và </w:t>
      </w:r>
      <w:r w:rsidR="008D7101">
        <w:rPr>
          <w:rFonts w:ascii="Times New Roman" w:hAnsi="Times New Roman" w:cs="Times New Roman"/>
          <w:sz w:val="28"/>
          <w:lang w:eastAsia="ko-KR"/>
        </w:rPr>
        <w:t>h</w:t>
      </w:r>
      <w:r w:rsidRPr="001F3F26">
        <w:rPr>
          <w:rFonts w:ascii="Times New Roman" w:hAnsi="Times New Roman" w:cs="Times New Roman"/>
          <w:sz w:val="28"/>
          <w:lang w:eastAsia="ko-KR"/>
        </w:rPr>
        <w:t xml:space="preserve">ỗ trợ từ cộng đồng được miễn không phải đóng </w:t>
      </w:r>
      <w:r w:rsidRPr="001F3F26">
        <w:rPr>
          <w:rFonts w:ascii="Times New Roman" w:hAnsi="Times New Roman" w:cs="Times New Roman"/>
          <w:sz w:val="28"/>
          <w:lang w:val="en-GB" w:eastAsia="ko-KR"/>
        </w:rPr>
        <w:t>phí</w:t>
      </w:r>
      <w:r w:rsidRPr="001F3F26">
        <w:rPr>
          <w:rFonts w:ascii="Times New Roman" w:hAnsi="Times New Roman" w:cs="Times New Roman"/>
          <w:sz w:val="28"/>
          <w:lang w:eastAsia="ko-KR"/>
        </w:rPr>
        <w:t>. Quy định này cũng được áp dụng cho những người thu nhập thấp và có thể được hưởng lợi từ chính sách miễn giảm đóng góp. Những người này có thể được miễn đóng góp toàn bộ hoặc miễn giảm tuỳ theo mức thu nhập và số thành viên trong gia đình. Ngoài ra còn có một phương án hoãn các khoản đóng góp đối với các đối tượng là người trẻ tuổi có thu nhập thấp. Sinh viên có mức thu nhập dưới một mức nhất đị</w:t>
      </w:r>
      <w:r w:rsidR="008D7101">
        <w:rPr>
          <w:rFonts w:ascii="Times New Roman" w:hAnsi="Times New Roman" w:cs="Times New Roman"/>
          <w:sz w:val="28"/>
          <w:lang w:eastAsia="ko-KR"/>
        </w:rPr>
        <w:t>nh và “Đ</w:t>
      </w:r>
      <w:r w:rsidRPr="001F3F26">
        <w:rPr>
          <w:rFonts w:ascii="Times New Roman" w:eastAsia="Malgun Gothic" w:hAnsi="Times New Roman" w:cs="Times New Roman"/>
          <w:sz w:val="28"/>
          <w:lang w:eastAsia="ko-KR"/>
        </w:rPr>
        <w:t xml:space="preserve">ối tượng </w:t>
      </w:r>
      <w:r w:rsidRPr="001F3F26">
        <w:rPr>
          <w:rFonts w:ascii="Times New Roman" w:eastAsia="Malgun Gothic" w:hAnsi="Times New Roman" w:cs="Times New Roman"/>
          <w:sz w:val="28"/>
          <w:lang w:eastAsia="ko-KR"/>
        </w:rPr>
        <w:lastRenderedPageBreak/>
        <w:t>bảo hiể</w:t>
      </w:r>
      <w:r w:rsidR="008D7101">
        <w:rPr>
          <w:rFonts w:ascii="Times New Roman" w:eastAsia="Malgun Gothic" w:hAnsi="Times New Roman" w:cs="Times New Roman"/>
          <w:sz w:val="28"/>
          <w:lang w:eastAsia="ko-KR"/>
        </w:rPr>
        <w:t>m Nhóm 2”</w:t>
      </w:r>
      <w:r w:rsidRPr="001F3F26">
        <w:rPr>
          <w:rFonts w:ascii="Times New Roman" w:hAnsi="Times New Roman" w:cs="Times New Roman"/>
          <w:sz w:val="28"/>
          <w:lang w:eastAsia="ko-KR"/>
        </w:rPr>
        <w:t xml:space="preserve"> dưới 30 tuổi cũng có thể hoãn khoản đóng góp của mình và bù đắp những khoản này về sau. </w:t>
      </w:r>
    </w:p>
    <w:p w:rsidR="00BD2D33" w:rsidRPr="001F3F26" w:rsidRDefault="00BD2D33" w:rsidP="001F3F26">
      <w:pPr>
        <w:spacing w:before="120" w:after="0"/>
        <w:ind w:firstLine="720"/>
        <w:jc w:val="both"/>
        <w:rPr>
          <w:rFonts w:ascii="Times New Roman" w:eastAsia="Malgun Gothic" w:hAnsi="Times New Roman" w:cs="Times New Roman"/>
          <w:sz w:val="28"/>
          <w:lang w:eastAsia="ko-KR"/>
        </w:rPr>
      </w:pPr>
      <w:r w:rsidRPr="001F3F26">
        <w:rPr>
          <w:rFonts w:ascii="Times New Roman" w:eastAsia="Malgun Gothic" w:hAnsi="Times New Roman" w:cs="Times New Roman"/>
          <w:sz w:val="28"/>
          <w:lang w:eastAsia="ko-KR"/>
        </w:rPr>
        <w:t xml:space="preserve">Mức độ đóng góp vào hệ thống trợ cấp có thay đổi phụ thuộc vào điều kiện của từng cá nhân. </w:t>
      </w:r>
      <w:r w:rsidR="006D6813">
        <w:rPr>
          <w:rFonts w:ascii="Times New Roman" w:eastAsia="Malgun Gothic" w:hAnsi="Times New Roman" w:cs="Times New Roman"/>
          <w:sz w:val="28"/>
          <w:lang w:eastAsia="ko-KR"/>
        </w:rPr>
        <w:t>“</w:t>
      </w:r>
      <w:r w:rsidRPr="001F3F26">
        <w:rPr>
          <w:rFonts w:ascii="Times New Roman" w:eastAsia="Malgun Gothic" w:hAnsi="Times New Roman" w:cs="Times New Roman"/>
          <w:sz w:val="28"/>
          <w:lang w:eastAsia="ko-KR"/>
        </w:rPr>
        <w:t>Đối tượng bảo hiểm Nhóm 1</w:t>
      </w:r>
      <w:r w:rsidR="006D6813">
        <w:rPr>
          <w:rFonts w:ascii="Times New Roman" w:eastAsia="Malgun Gothic" w:hAnsi="Times New Roman" w:cs="Times New Roman"/>
          <w:sz w:val="28"/>
          <w:lang w:eastAsia="ko-KR"/>
        </w:rPr>
        <w:t>”</w:t>
      </w:r>
      <w:r w:rsidRPr="001F3F26">
        <w:rPr>
          <w:rFonts w:ascii="Times New Roman" w:eastAsia="Malgun Gothic" w:hAnsi="Times New Roman" w:cs="Times New Roman"/>
          <w:sz w:val="28"/>
          <w:lang w:eastAsia="ko-KR"/>
        </w:rPr>
        <w:t xml:space="preserve"> phải đóng góp một mức cố định vào hệ thống bất kể mức thu nhập. ‘Đối tượng bảo hiểm Nhóm 2’ chi trả cho khoản đóng góp dựa trên thu nhập đối với hai chế độ trợ cấp công (Hưu trí quốc gia và Bảo hiểm hưu trí người lao động). Những người thuộ</w:t>
      </w:r>
      <w:r w:rsidR="00546AB7">
        <w:rPr>
          <w:rFonts w:ascii="Times New Roman" w:eastAsia="Malgun Gothic" w:hAnsi="Times New Roman" w:cs="Times New Roman"/>
          <w:sz w:val="28"/>
          <w:lang w:eastAsia="ko-KR"/>
        </w:rPr>
        <w:t>c “Đ</w:t>
      </w:r>
      <w:r w:rsidRPr="001F3F26">
        <w:rPr>
          <w:rFonts w:ascii="Times New Roman" w:eastAsia="Malgun Gothic" w:hAnsi="Times New Roman" w:cs="Times New Roman"/>
          <w:sz w:val="28"/>
          <w:lang w:eastAsia="ko-KR"/>
        </w:rPr>
        <w:t>ối tượng bảo hiểm Nhóm 3</w:t>
      </w:r>
      <w:r w:rsidR="00546AB7">
        <w:rPr>
          <w:rFonts w:ascii="Times New Roman" w:eastAsia="Malgun Gothic" w:hAnsi="Times New Roman" w:cs="Times New Roman"/>
          <w:sz w:val="28"/>
          <w:lang w:eastAsia="ko-KR"/>
        </w:rPr>
        <w:t>”</w:t>
      </w:r>
      <w:r w:rsidRPr="001F3F26">
        <w:rPr>
          <w:rFonts w:ascii="Times New Roman" w:eastAsia="Malgun Gothic" w:hAnsi="Times New Roman" w:cs="Times New Roman"/>
          <w:sz w:val="28"/>
          <w:lang w:eastAsia="ko-KR"/>
        </w:rPr>
        <w:t xml:space="preserve"> không phải đóng </w:t>
      </w:r>
      <w:r w:rsidRPr="001F3F26">
        <w:rPr>
          <w:rFonts w:ascii="Times New Roman" w:eastAsia="Malgun Gothic" w:hAnsi="Times New Roman" w:cs="Times New Roman"/>
          <w:sz w:val="28"/>
          <w:lang w:val="en-GB" w:eastAsia="ko-KR"/>
        </w:rPr>
        <w:t>phí cho Quỹ</w:t>
      </w:r>
      <w:r w:rsidRPr="001F3F26">
        <w:rPr>
          <w:rFonts w:ascii="Times New Roman" w:eastAsia="Malgun Gothic" w:hAnsi="Times New Roman" w:cs="Times New Roman"/>
          <w:sz w:val="28"/>
          <w:lang w:eastAsia="ko-KR"/>
        </w:rPr>
        <w:t xml:space="preserve"> Hưu trí quốc gia do khoản đóng góp của họ được coi là đã bao gồm trong khoản đóng góp của người bạn đời (đối tượng bảo hiểm Nhóm 2). Do đó, Chính phủ đã trợ cấp một nửa </w:t>
      </w:r>
      <w:r w:rsidRPr="001F3F26">
        <w:rPr>
          <w:rFonts w:ascii="Times New Roman" w:eastAsia="Malgun Gothic" w:hAnsi="Times New Roman" w:cs="Times New Roman"/>
          <w:sz w:val="28"/>
          <w:lang w:val="en-GB" w:eastAsia="ko-KR"/>
        </w:rPr>
        <w:t>phí tham gia</w:t>
      </w:r>
      <w:r w:rsidRPr="001F3F26">
        <w:rPr>
          <w:rFonts w:ascii="Times New Roman" w:eastAsia="Malgun Gothic" w:hAnsi="Times New Roman" w:cs="Times New Roman"/>
          <w:sz w:val="28"/>
          <w:lang w:eastAsia="ko-KR"/>
        </w:rPr>
        <w:t xml:space="preserve"> </w:t>
      </w:r>
      <w:r w:rsidRPr="001F3F26">
        <w:rPr>
          <w:rFonts w:ascii="Times New Roman" w:eastAsia="Malgun Gothic" w:hAnsi="Times New Roman" w:cs="Times New Roman"/>
          <w:sz w:val="28"/>
          <w:lang w:val="en-GB" w:eastAsia="ko-KR"/>
        </w:rPr>
        <w:t xml:space="preserve">quỹ </w:t>
      </w:r>
      <w:r w:rsidRPr="001F3F26">
        <w:rPr>
          <w:rFonts w:ascii="Times New Roman" w:eastAsia="Malgun Gothic" w:hAnsi="Times New Roman" w:cs="Times New Roman"/>
          <w:sz w:val="28"/>
          <w:lang w:eastAsia="ko-KR"/>
        </w:rPr>
        <w:t>Hưu trí quốc gia hàng năm.</w:t>
      </w:r>
    </w:p>
    <w:p w:rsidR="00BD2D33" w:rsidRPr="001F3F26" w:rsidRDefault="00BD2D33" w:rsidP="001F3F26">
      <w:pPr>
        <w:spacing w:before="120" w:after="0"/>
        <w:ind w:firstLine="720"/>
        <w:jc w:val="both"/>
        <w:rPr>
          <w:rFonts w:ascii="Times New Roman" w:eastAsia="Malgun Gothic" w:hAnsi="Times New Roman" w:cs="Times New Roman"/>
          <w:sz w:val="28"/>
          <w:lang w:eastAsia="ko-KR"/>
        </w:rPr>
      </w:pPr>
      <w:r w:rsidRPr="001F3F26">
        <w:rPr>
          <w:rFonts w:ascii="Times New Roman" w:eastAsia="Malgun Gothic" w:hAnsi="Times New Roman" w:cs="Times New Roman"/>
          <w:sz w:val="28"/>
          <w:lang w:eastAsia="ko-KR"/>
        </w:rPr>
        <w:t xml:space="preserve">Tuy nhiên, Hàn Quốc lại có cách tiếp cận khác. Hệ thống trợ cấp của nước này bắt đầu với việc khởi động </w:t>
      </w:r>
      <w:r w:rsidRPr="001F3F26">
        <w:rPr>
          <w:rFonts w:ascii="Times New Roman" w:eastAsia="Malgun Gothic" w:hAnsi="Times New Roman" w:cs="Times New Roman"/>
          <w:sz w:val="28"/>
          <w:lang w:val="en-GB" w:eastAsia="ko-KR"/>
        </w:rPr>
        <w:t>quỹ</w:t>
      </w:r>
      <w:r w:rsidRPr="001F3F26">
        <w:rPr>
          <w:rFonts w:ascii="Times New Roman" w:eastAsia="Malgun Gothic" w:hAnsi="Times New Roman" w:cs="Times New Roman"/>
          <w:sz w:val="28"/>
          <w:lang w:eastAsia="ko-KR"/>
        </w:rPr>
        <w:t xml:space="preserve"> Hưu trí quốc gia vào năm 1988, một chế độ đóng góp dựa trên thu nhập dành cho người lao động trong lĩnh vực tư nhân. Tuy nhiên, để giải quyết những thách thức trong quy định bảo hiểm đối với một số nhóm dân số nhất định (ví dụ như những người lao động tự do) thì một chương trình Hưu trí cơ bản (hoạt động bằng ngân sách thuế) đã được ra đời bên cạnh </w:t>
      </w:r>
      <w:r w:rsidRPr="001F3F26">
        <w:rPr>
          <w:rFonts w:ascii="Times New Roman" w:eastAsia="Malgun Gothic" w:hAnsi="Times New Roman" w:cs="Times New Roman"/>
          <w:sz w:val="28"/>
          <w:lang w:val="en-GB" w:eastAsia="ko-KR"/>
        </w:rPr>
        <w:t>quỹ</w:t>
      </w:r>
      <w:r w:rsidRPr="001F3F26">
        <w:rPr>
          <w:rFonts w:ascii="Times New Roman" w:eastAsia="Malgun Gothic" w:hAnsi="Times New Roman" w:cs="Times New Roman"/>
          <w:sz w:val="28"/>
          <w:lang w:eastAsia="ko-KR"/>
        </w:rPr>
        <w:t xml:space="preserve"> Hưu trí quốc gia vào năm 2007 đang quy định bảo hiểm cho 70% những người trong độ tuổi 65 trở lên có thu nhập và tài sản dưới một ngưỡng nhất định. </w:t>
      </w:r>
    </w:p>
    <w:p w:rsidR="00BD2D33" w:rsidRPr="001F3F26" w:rsidRDefault="00BD2D33"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quốc gia quy định đóng bao hiểm cho hai nhóm: </w:t>
      </w:r>
      <w:r w:rsidRPr="001F3F26">
        <w:rPr>
          <w:rFonts w:ascii="Times New Roman" w:hAnsi="Times New Roman" w:cs="Times New Roman"/>
          <w:sz w:val="28"/>
          <w:lang w:val="en-GB"/>
        </w:rPr>
        <w:t>n</w:t>
      </w:r>
      <w:r w:rsidRPr="001F3F26">
        <w:rPr>
          <w:rFonts w:ascii="Times New Roman" w:hAnsi="Times New Roman" w:cs="Times New Roman"/>
          <w:sz w:val="28"/>
        </w:rPr>
        <w:t xml:space="preserve">gười đóng bảo hiểm bắt buộc và người đóng bảo hiểm tự nguyện. Nhóm đầu tiên bao gồm các đối tượng người lao động, lao động tự do, nông dân và ngư dân. Nhóm thứ hai chủ yếu bao gồm các đối tượng không nằm trong lực lượng lao động như học sinh, sinh viên, người bạn đời phụ thuộc và đối tượng hưởng hỗ trợ của cộng đồng. Năm 2014, </w:t>
      </w: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quốc gia quy định đóng bảo hiểm cho 79,6% lực lượng lao động tại Hàn Quốc. </w:t>
      </w: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quốc gia có thể được kết hợp với </w:t>
      </w: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cơ bản khi các khoản trợ cấp trong </w:t>
      </w: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quốc gia thấp hơn ngưỡng quy định trong </w:t>
      </w: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cơ bản. Vấn đề này đặc biệt quan trọng nhằm đảm bảo mức thu nhập tối thiểu cho </w:t>
      </w:r>
      <w:r w:rsidRPr="001F3F26">
        <w:rPr>
          <w:rFonts w:ascii="Times New Roman" w:hAnsi="Times New Roman" w:cs="Times New Roman"/>
          <w:sz w:val="28"/>
          <w:lang w:val="en-GB"/>
        </w:rPr>
        <w:t>các đối tượng</w:t>
      </w:r>
      <w:r w:rsidRPr="001F3F26">
        <w:rPr>
          <w:rFonts w:ascii="Times New Roman" w:hAnsi="Times New Roman" w:cs="Times New Roman"/>
          <w:sz w:val="28"/>
        </w:rPr>
        <w:t xml:space="preserve"> hưu trí có mức lương hưu thấp theo như quy định trong </w:t>
      </w:r>
      <w:r w:rsidRPr="001F3F26">
        <w:rPr>
          <w:rFonts w:ascii="Times New Roman" w:hAnsi="Times New Roman" w:cs="Times New Roman"/>
          <w:sz w:val="28"/>
          <w:lang w:val="en-GB"/>
        </w:rPr>
        <w:t>Quỹ</w:t>
      </w:r>
      <w:r w:rsidRPr="001F3F26">
        <w:rPr>
          <w:rFonts w:ascii="Times New Roman" w:hAnsi="Times New Roman" w:cs="Times New Roman"/>
          <w:sz w:val="28"/>
        </w:rPr>
        <w:t xml:space="preserve"> Hưu trí quốc gia.</w:t>
      </w:r>
      <w:r w:rsidRPr="001F3F26">
        <w:rPr>
          <w:rStyle w:val="FootnoteReference"/>
          <w:rFonts w:ascii="Times New Roman" w:hAnsi="Times New Roman" w:cs="Times New Roman"/>
          <w:sz w:val="28"/>
        </w:rPr>
        <w:footnoteReference w:id="15"/>
      </w:r>
    </w:p>
    <w:p w:rsidR="00BD2D33" w:rsidRPr="001F3F26" w:rsidRDefault="00214D54" w:rsidP="001F3F26">
      <w:pPr>
        <w:spacing w:before="120" w:after="0"/>
        <w:ind w:firstLine="720"/>
        <w:jc w:val="both"/>
        <w:rPr>
          <w:rFonts w:ascii="Times New Roman" w:hAnsi="Times New Roman" w:cs="Times New Roman"/>
          <w:sz w:val="28"/>
        </w:rPr>
      </w:pPr>
      <w:r>
        <w:rPr>
          <w:rFonts w:ascii="Times New Roman" w:hAnsi="Times New Roman" w:cs="Times New Roman"/>
          <w:sz w:val="28"/>
          <w:lang w:val="en-GB"/>
        </w:rPr>
        <w:t xml:space="preserve">Một ví dụ khác cho nội </w:t>
      </w:r>
      <w:r w:rsidR="00BD2D33" w:rsidRPr="001F3F26">
        <w:rPr>
          <w:rFonts w:ascii="Times New Roman" w:hAnsi="Times New Roman" w:cs="Times New Roman"/>
          <w:sz w:val="28"/>
          <w:lang w:val="en-GB"/>
        </w:rPr>
        <w:t>dung</w:t>
      </w:r>
      <w:r w:rsidR="00BD2D33" w:rsidRPr="001F3F26">
        <w:rPr>
          <w:rFonts w:ascii="Times New Roman" w:hAnsi="Times New Roman" w:cs="Times New Roman"/>
          <w:sz w:val="28"/>
        </w:rPr>
        <w:t xml:space="preserve"> mở rộng theo chiề</w:t>
      </w:r>
      <w:r>
        <w:rPr>
          <w:rFonts w:ascii="Times New Roman" w:hAnsi="Times New Roman" w:cs="Times New Roman"/>
          <w:sz w:val="28"/>
        </w:rPr>
        <w:t xml:space="preserve">u ngang đó là </w:t>
      </w:r>
      <w:r w:rsidR="00BD2D33" w:rsidRPr="001F3F26">
        <w:rPr>
          <w:rFonts w:ascii="Times New Roman" w:hAnsi="Times New Roman" w:cs="Times New Roman"/>
          <w:sz w:val="28"/>
        </w:rPr>
        <w:t>trường hợp của Trung Quốc</w:t>
      </w:r>
      <w:r>
        <w:rPr>
          <w:rFonts w:ascii="Times New Roman" w:hAnsi="Times New Roman" w:cs="Times New Roman"/>
          <w:sz w:val="28"/>
        </w:rPr>
        <w:t xml:space="preserve"> với cách </w:t>
      </w:r>
      <w:r w:rsidR="00BD2D33" w:rsidRPr="001F3F26">
        <w:rPr>
          <w:rFonts w:ascii="Times New Roman" w:hAnsi="Times New Roman" w:cs="Times New Roman"/>
          <w:sz w:val="28"/>
        </w:rPr>
        <w:t>áp dụng các phương thức riêng biệt nhưng vẫn đạt được mức độ bao phủ cao.</w:t>
      </w:r>
      <w:r>
        <w:rPr>
          <w:rFonts w:ascii="Times New Roman" w:hAnsi="Times New Roman" w:cs="Times New Roman"/>
          <w:sz w:val="28"/>
        </w:rPr>
        <w:t xml:space="preserve"> Cụ thề, như đã đề cập ở phần trên, h</w:t>
      </w:r>
      <w:r w:rsidR="00BD2D33" w:rsidRPr="001F3F26">
        <w:rPr>
          <w:rFonts w:ascii="Times New Roman" w:hAnsi="Times New Roman" w:cs="Times New Roman"/>
          <w:sz w:val="28"/>
        </w:rPr>
        <w:t>ệ thống hưu trí hiện tại của Trung Quốc bao gồm</w:t>
      </w:r>
      <w:r>
        <w:rPr>
          <w:rFonts w:ascii="Times New Roman" w:hAnsi="Times New Roman" w:cs="Times New Roman"/>
          <w:sz w:val="28"/>
        </w:rPr>
        <w:t xml:space="preserve"> ba</w:t>
      </w:r>
      <w:r w:rsidR="00BD2D33" w:rsidRPr="001F3F26">
        <w:rPr>
          <w:rFonts w:ascii="Times New Roman" w:hAnsi="Times New Roman" w:cs="Times New Roman"/>
          <w:sz w:val="28"/>
        </w:rPr>
        <w:t xml:space="preserve"> chế độ: (1)</w:t>
      </w:r>
      <w:r>
        <w:rPr>
          <w:rFonts w:ascii="Times New Roman" w:hAnsi="Times New Roman" w:cs="Times New Roman"/>
          <w:sz w:val="28"/>
        </w:rPr>
        <w:t xml:space="preserve"> </w:t>
      </w:r>
      <w:r w:rsidR="00BD2D33" w:rsidRPr="001F3F26">
        <w:rPr>
          <w:rFonts w:ascii="Times New Roman" w:hAnsi="Times New Roman" w:cs="Times New Roman"/>
          <w:sz w:val="28"/>
        </w:rPr>
        <w:t xml:space="preserve">Chế độ hưu trí dành cho lao động thành thị, (2) Chế độ hưu trí dành cho công chức và nhân viên Chính phủ, và (3) Chế độ hưu trí dành cho người dân nông thôn và thành thị áp dụng cho những người sống </w:t>
      </w:r>
      <w:r w:rsidR="00BD2D33" w:rsidRPr="001F3F26">
        <w:rPr>
          <w:rFonts w:ascii="Times New Roman" w:hAnsi="Times New Roman" w:cs="Times New Roman"/>
          <w:sz w:val="28"/>
        </w:rPr>
        <w:lastRenderedPageBreak/>
        <w:t>tại khu vực nông thôn và thành thị nhưng không được đóng bảo hiểm theo quy định của hai chế độ đầu. Chế độ hưu trí dành cho lao động thành thị và công chức chủ yếu quy định đóng bảo hiểm cho người lao động tại các khu vực thành thị. Trong khi đó, chế độ hưu trí dành cho cư dân là một nỗ lực nhằm quy định đóng bảo hiểm cho các nhóm dân số ít có khả năng đóng góp hơn.</w:t>
      </w:r>
    </w:p>
    <w:p w:rsidR="00BD2D33" w:rsidRPr="001F3F26" w:rsidRDefault="00BD2D33"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rPr>
        <w:t xml:space="preserve">Chế độ hưu trí dành cho người dân nông thôn và thành thị bao gồm hai cấu phần: </w:t>
      </w:r>
      <w:r w:rsidR="00214D54">
        <w:rPr>
          <w:rFonts w:ascii="Times New Roman" w:hAnsi="Times New Roman" w:cs="Times New Roman"/>
          <w:sz w:val="28"/>
        </w:rPr>
        <w:t xml:space="preserve">(i) </w:t>
      </w:r>
      <w:r w:rsidRPr="001F3F26">
        <w:rPr>
          <w:rFonts w:ascii="Times New Roman" w:hAnsi="Times New Roman" w:cs="Times New Roman"/>
          <w:sz w:val="28"/>
        </w:rPr>
        <w:t xml:space="preserve">hưu trí cơ bản dưới dạng trợ cấp cơ bản có mức trợ cấp cố định do Chính phủ chi trả hoàn toàn; và </w:t>
      </w:r>
      <w:r w:rsidR="00214D54">
        <w:rPr>
          <w:rFonts w:ascii="Times New Roman" w:hAnsi="Times New Roman" w:cs="Times New Roman"/>
          <w:sz w:val="28"/>
        </w:rPr>
        <w:t xml:space="preserve">(ii) </w:t>
      </w:r>
      <w:r w:rsidRPr="001F3F26">
        <w:rPr>
          <w:rFonts w:ascii="Times New Roman" w:hAnsi="Times New Roman" w:cs="Times New Roman"/>
          <w:sz w:val="28"/>
        </w:rPr>
        <w:t xml:space="preserve">cấu phần về Tài khoản cá nhân (IA) được chi trả thông qua các khoản đóng góp của người được bảo hiểm và được bổ sung từ các khoản trợ cấp chính phủ. Những người được hưởng trợ cấp đóng góp hàng tháng vào tài khoản này và lựa chọn trên cơ sở tự nguyện các mức độ đóng góp hàng năm khác nhau từ 100 tới tối đa 2000 Nhân dân tệ. </w:t>
      </w:r>
    </w:p>
    <w:p w:rsidR="00BD2D33" w:rsidRPr="001F3F26" w:rsidRDefault="00BD2D33" w:rsidP="001F3F26">
      <w:pPr>
        <w:spacing w:before="120" w:after="0"/>
        <w:ind w:firstLine="720"/>
        <w:jc w:val="both"/>
        <w:rPr>
          <w:rFonts w:ascii="Times New Roman" w:hAnsi="Times New Roman" w:cs="Times New Roman"/>
          <w:sz w:val="28"/>
          <w:lang w:val="en-CA"/>
        </w:rPr>
      </w:pPr>
      <w:r w:rsidRPr="001F3F26">
        <w:rPr>
          <w:rFonts w:ascii="Times New Roman" w:hAnsi="Times New Roman" w:cs="Times New Roman"/>
          <w:sz w:val="28"/>
        </w:rPr>
        <w:t>Giá trị ban đầu của mức hưu trí cơ bản trong chế độ trợ cấp này là 55 Nhân dân tệ một tháng và giá trị này có thể được chính quyền địa phương tự đưa ra quyết định bổ sung từ ngân sách của địa phương mình. Các tài khoản cá nhân được hưởng tỷ suất sinh lợi tương đương với lãi suất gửi tiền kỳ hạn một năm của Ngân hàng Nhân dân Trung Quốc; khoản trợ cấp được tính toán bằng cách chia mức tích luỹ khi đến tuổi 60 cho 139 (được thực hiện tương tự như trong chế độ trợ cấp thành thị) (Ngân hàng Thế giới, 2014).</w:t>
      </w:r>
    </w:p>
    <w:p w:rsidR="00BD2D33" w:rsidRPr="001F3F26" w:rsidRDefault="00BD2D33" w:rsidP="001F3F26">
      <w:pPr>
        <w:spacing w:before="120" w:after="0"/>
        <w:ind w:firstLine="720"/>
        <w:jc w:val="both"/>
        <w:rPr>
          <w:rFonts w:ascii="Times New Roman" w:hAnsi="Times New Roman" w:cs="Times New Roman"/>
          <w:sz w:val="28"/>
          <w:lang w:val="en-CA"/>
        </w:rPr>
      </w:pPr>
      <w:r w:rsidRPr="001F3F26">
        <w:rPr>
          <w:rFonts w:ascii="Times New Roman" w:hAnsi="Times New Roman" w:cs="Times New Roman"/>
          <w:sz w:val="28"/>
        </w:rPr>
        <w:t xml:space="preserve">Sau khi nghỉ hưu, người lao động đóng bảo hiểm theo Chế độ hưu trí cho lao động thành thị được nhận một khoản lương hưu gồm hai phần: một phần </w:t>
      </w:r>
      <w:r w:rsidRPr="001F3F26">
        <w:rPr>
          <w:rFonts w:ascii="Times New Roman" w:hAnsi="Times New Roman" w:cs="Times New Roman"/>
          <w:sz w:val="28"/>
          <w:lang w:val="en-GB"/>
        </w:rPr>
        <w:t>trợ cấp xác định</w:t>
      </w:r>
      <w:r w:rsidRPr="001F3F26">
        <w:rPr>
          <w:rFonts w:ascii="Times New Roman" w:hAnsi="Times New Roman" w:cs="Times New Roman"/>
          <w:sz w:val="28"/>
        </w:rPr>
        <w:t xml:space="preserve"> được chi trả bởi phần đóng góp của người sử dụng lao động (chiếm khoảng 20% trong bảng lương) và một phần lương hưu cá nhân được tính toán dựa trên mức đóng góp tích luỹ của người lao động, mức đóng góp này là 8% trong tổng thu nhập tham chiếu của người lao động. Các khoản trợ cấp trong chế hộ hưu trí cho người lao động thành thị được </w:t>
      </w:r>
      <w:r w:rsidRPr="001F3F26">
        <w:rPr>
          <w:rFonts w:ascii="Times New Roman" w:hAnsi="Times New Roman" w:cs="Times New Roman"/>
          <w:sz w:val="28"/>
          <w:lang w:val="en-CA"/>
        </w:rPr>
        <w:t xml:space="preserve">cấp khi người được hưởng trợ cấp đến tuổi 60 và đã đóng góp được 15 năm. </w:t>
      </w:r>
    </w:p>
    <w:p w:rsidR="00BD2D33" w:rsidRPr="001F3F26" w:rsidRDefault="00BD2D33" w:rsidP="001F3F26">
      <w:pPr>
        <w:spacing w:before="120" w:after="0"/>
        <w:ind w:firstLine="720"/>
        <w:jc w:val="both"/>
        <w:rPr>
          <w:rFonts w:ascii="Times New Roman" w:hAnsi="Times New Roman" w:cs="Times New Roman"/>
          <w:sz w:val="28"/>
          <w:lang w:val="en-GB"/>
        </w:rPr>
      </w:pPr>
      <w:r w:rsidRPr="001F3F26">
        <w:rPr>
          <w:rFonts w:ascii="Times New Roman" w:hAnsi="Times New Roman" w:cs="Times New Roman"/>
          <w:sz w:val="28"/>
        </w:rPr>
        <w:t xml:space="preserve">Tuy nhiên, theo quy định của chế độ hưu trí cho người dân nông thôn và thành thị, đa phần thế hệ người được hưởng hưu trí ở thời điểm hiện tại chỉ được nhận lương hưu cơ bản do họ đã vượt quá độ tuổi hưu trí khi chế độ trợ cấp này được đưa vào thực hiện. Đối với những người còn dưới 15 năm trước khi đến tuổi 60 thì có thể đóng góp trong suốt khoảng thời gian còn lại của độ tuổi lao động và đóng trọn gói một lần để bù đắp vào phần thiết hụt nhằm thoả mãn yêu cầu hưởng trợ cấp hưu trí là phải có mức đóng góp trong 15 năm (Ngân hàng Thế giới, 2014). Người dân nông thôn ở độ tuổi 60 trở lên chưa từng đóng góp vào chế độ hưu trí dành cho người dân nông thôn và thành thị có thể được hưởng mức hưu trí cơ bản nếu con của họ đang trong độ tuổi lao động và có đóng góp vào hệ thống hưu trí. </w:t>
      </w:r>
    </w:p>
    <w:p w:rsidR="00BD2D33" w:rsidRPr="001F3F26" w:rsidRDefault="00BD2D33"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rPr>
        <w:lastRenderedPageBreak/>
        <w:t>Những biện pháp này đã giúp cho phạm vi bao phủ được mở rộng đáng kể. Tỷ lệ phần trăm người dân đủ điều kiện hưởng hưu trí đã tăng từ 54,7% trong năm 2011 tới 73,7% vào năm 2014. Đi kèm với thực tế này đó là số lượng người đóng góp vào hệ thống hưu trí đã tăng lên và đạt tới 500,1 triệu người vào năm 2014. Khi xét chung cho cả lĩnh vực công và tư thì tổng số người dân được hưởng hưu trí tại Trung Quốc tính tới cuối năm 2014 được dự đoán ở mức 879 triệu ngườ</w:t>
      </w:r>
      <w:r w:rsidR="00672889">
        <w:rPr>
          <w:rFonts w:ascii="Times New Roman" w:hAnsi="Times New Roman" w:cs="Times New Roman"/>
          <w:sz w:val="28"/>
        </w:rPr>
        <w:t>i -</w:t>
      </w:r>
      <w:r w:rsidRPr="001F3F26">
        <w:rPr>
          <w:rFonts w:ascii="Times New Roman" w:hAnsi="Times New Roman" w:cs="Times New Roman"/>
          <w:sz w:val="28"/>
        </w:rPr>
        <w:t xml:space="preserve"> gần 77% trong tổng số người dân trong độ tuổi từ 15 trở lên. Trong số 879 triệu người này thì có 501 triệu người được đóng bảo hiểm theo Chế độ hưu trí cơ bản thống nhất dành cho người dân nông thôn và thành thị, chiếm 57% tổng số người dân được đóng bảo hiểm hưu trí tại Trung Quốc năm 2014 (ESCAP, 2016).</w:t>
      </w:r>
    </w:p>
    <w:p w:rsidR="00BD2D33" w:rsidRPr="001F3F26" w:rsidRDefault="00214D54" w:rsidP="001F3F26">
      <w:pPr>
        <w:spacing w:before="120" w:after="0"/>
        <w:ind w:firstLine="720"/>
        <w:jc w:val="both"/>
        <w:rPr>
          <w:rFonts w:ascii="Times New Roman" w:hAnsi="Times New Roman" w:cs="Times New Roman"/>
          <w:sz w:val="28"/>
          <w:highlight w:val="yellow"/>
          <w:lang w:val="en-GB"/>
        </w:rPr>
      </w:pPr>
      <w:r>
        <w:rPr>
          <w:rFonts w:ascii="Times New Roman" w:hAnsi="Times New Roman" w:cs="Times New Roman"/>
          <w:sz w:val="28"/>
          <w:lang w:val="en-GB"/>
        </w:rPr>
        <w:t>Brunei cũng là</w:t>
      </w:r>
      <w:r w:rsidR="00BD2D33" w:rsidRPr="001F3F26">
        <w:rPr>
          <w:rFonts w:ascii="Times New Roman" w:hAnsi="Times New Roman" w:cs="Times New Roman"/>
          <w:sz w:val="28"/>
          <w:lang w:val="en-GB"/>
        </w:rPr>
        <w:t xml:space="preserve"> một ví dụ khác về một quốc gia trong khu vực đã đạt được mức bao phủ toàn dân thông qua Chế độ hưu trí người cao tuổi </w:t>
      </w:r>
      <w:r w:rsidR="00BD2D33" w:rsidRPr="001F3F26">
        <w:rPr>
          <w:rFonts w:ascii="Times New Roman" w:hAnsi="Times New Roman" w:cs="Times New Roman"/>
          <w:sz w:val="28"/>
        </w:rPr>
        <w:t xml:space="preserve">(OAP) (tầng thứ nhất), bao gồm khoản hưu trí xã hội không do người dân đóng góp dành cho tất cả người dân Brunei độ tuổi từ 60 trở lên. </w:t>
      </w:r>
    </w:p>
    <w:p w:rsidR="00BD2D33" w:rsidRPr="001F3F26" w:rsidRDefault="001473E4" w:rsidP="001F3F26">
      <w:pPr>
        <w:spacing w:before="120" w:after="0"/>
        <w:ind w:firstLine="720"/>
        <w:jc w:val="both"/>
        <w:rPr>
          <w:rFonts w:ascii="Times New Roman" w:hAnsi="Times New Roman" w:cs="Times New Roman"/>
          <w:b/>
          <w:i/>
          <w:sz w:val="28"/>
          <w:lang w:val="en-GB"/>
        </w:rPr>
      </w:pPr>
      <w:r>
        <w:rPr>
          <w:rFonts w:ascii="Times New Roman" w:hAnsi="Times New Roman" w:cs="Times New Roman"/>
          <w:b/>
          <w:i/>
          <w:sz w:val="28"/>
          <w:lang w:val="en-GB"/>
        </w:rPr>
        <w:t>3.2.</w:t>
      </w:r>
      <w:r w:rsidR="00BD2D33" w:rsidRPr="001F3F26">
        <w:rPr>
          <w:rFonts w:ascii="Times New Roman" w:hAnsi="Times New Roman" w:cs="Times New Roman"/>
          <w:b/>
          <w:i/>
          <w:sz w:val="28"/>
          <w:lang w:val="en-GB"/>
        </w:rPr>
        <w:t xml:space="preserve"> Mở rộng theo chiều dọc</w:t>
      </w:r>
    </w:p>
    <w:p w:rsidR="00BD2D33" w:rsidRPr="001F3F26" w:rsidRDefault="00BD2D33"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rPr>
        <w:t xml:space="preserve">Những nỗ lực nhằm đảm bảo mức độ bảo vệ tốt hơn, đặc biệt theo hướng tôn trọng tính phù hợp của các khoản trợ giúp đã lại một lần nữa kêu gọi phần lớn các quốc gia trong khu vực áp dụng một phương pháp tiếp cận </w:t>
      </w:r>
      <w:r w:rsidRPr="001F3F26">
        <w:rPr>
          <w:rFonts w:ascii="Times New Roman" w:hAnsi="Times New Roman" w:cs="Times New Roman"/>
          <w:sz w:val="28"/>
          <w:lang w:val="en-GB"/>
        </w:rPr>
        <w:t>nhiều cấp độ</w:t>
      </w:r>
      <w:r w:rsidRPr="001F3F26">
        <w:rPr>
          <w:rFonts w:ascii="Times New Roman" w:hAnsi="Times New Roman" w:cs="Times New Roman"/>
          <w:sz w:val="28"/>
        </w:rPr>
        <w:t xml:space="preserve">. </w:t>
      </w:r>
    </w:p>
    <w:p w:rsidR="00BD2D33" w:rsidRPr="001F3F26" w:rsidRDefault="00BD2D33"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rPr>
        <w:t xml:space="preserve">Tại Thái Lan, bên cạnh khoản trợ cấp hưu trí toàn dân lấy từ ngân sách thuế của Bộ An ninh Con người và Phát triển Xã hội thì hệ thống bảo trợ còn có cấp độ thứ hai bao gồm </w:t>
      </w:r>
      <w:r w:rsidRPr="001F3F26">
        <w:rPr>
          <w:rFonts w:ascii="Times New Roman" w:hAnsi="Times New Roman" w:cs="Times New Roman"/>
          <w:sz w:val="28"/>
          <w:lang w:val="en-GB"/>
        </w:rPr>
        <w:t>quỹ DB</w:t>
      </w:r>
      <w:r w:rsidRPr="001F3F26">
        <w:rPr>
          <w:rFonts w:ascii="Times New Roman" w:hAnsi="Times New Roman" w:cs="Times New Roman"/>
          <w:sz w:val="28"/>
        </w:rPr>
        <w:t xml:space="preserve"> bắt buộc do Văn phòng An ninh Xã hội thuộc Bộ Lao động quản lý, nhắm chủ yếu tới người lao động trong lĩnh vực chính thức. Những người lao động tự do có thể được Văn phòng này đóng bảo hiểm trên cơ sở tự nguyện và chỉ được hưởng một khoản hưu trí trọn gói. </w:t>
      </w:r>
      <w:r w:rsidRPr="001F3F26">
        <w:rPr>
          <w:rFonts w:ascii="Times New Roman" w:hAnsi="Times New Roman" w:cs="Times New Roman"/>
          <w:sz w:val="28"/>
          <w:lang w:val="en-GB"/>
        </w:rPr>
        <w:t>Cấp độ</w:t>
      </w:r>
      <w:r w:rsidRPr="001F3F26">
        <w:rPr>
          <w:rFonts w:ascii="Times New Roman" w:hAnsi="Times New Roman" w:cs="Times New Roman"/>
          <w:sz w:val="28"/>
        </w:rPr>
        <w:t xml:space="preserve"> thứ ba trong hệ thống hưu trí bao gồm các chế độ bổ sung dưới dạng đóng góp tự nguyện vào các tài khoản tiết kiệm cá nhân. Năm 2015, Chính phủ Thái </w:t>
      </w:r>
      <w:r w:rsidR="00B520A7">
        <w:rPr>
          <w:rFonts w:ascii="Times New Roman" w:hAnsi="Times New Roman" w:cs="Times New Roman"/>
          <w:sz w:val="28"/>
        </w:rPr>
        <w:t>L</w:t>
      </w:r>
      <w:r w:rsidRPr="001F3F26">
        <w:rPr>
          <w:rFonts w:ascii="Times New Roman" w:hAnsi="Times New Roman" w:cs="Times New Roman"/>
          <w:sz w:val="28"/>
        </w:rPr>
        <w:t xml:space="preserve">an đã khởi động chế độ tài khoản tiết kiệm tự nguyện quốc gia do Bộ Tài chính quản lý với các khoản đóng góp được Chính phủ trợ cấp dành cho những người không thuộc diện bảo hiểm theo quy định của chế độ trợ cấp cho người lao động chính thức. Tuy nhiên, cho tới thời điểm hiện tại, những kết quả đạt được trong công tác mở rộng phạm vi bao phủ tới người lao động tự do và người lao động trong nền kinh tế không chính thức vẫn còn hạn chế. Trong trường hợp của công chức và một số doanh nghiệp (thường là các doanh nghiệp lớn) thì vấn đề này lại nằm trong các điều kiện thoả thuận hợp đồng và thông thường thì người chủ lao động và người lao động cùng chia sẻ khoản đóng góp. </w:t>
      </w:r>
    </w:p>
    <w:p w:rsidR="00BD2D33" w:rsidRPr="001F3F26" w:rsidRDefault="00BD2D33"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rPr>
        <w:t xml:space="preserve">Tại Nhật Bản, cho tới gần đây thì chế độ Hưu trí của nước này mới bao gồm </w:t>
      </w:r>
      <w:r w:rsidRPr="001F3F26">
        <w:rPr>
          <w:rFonts w:ascii="Times New Roman" w:hAnsi="Times New Roman" w:cs="Times New Roman"/>
          <w:sz w:val="28"/>
          <w:lang w:val="en-GB"/>
        </w:rPr>
        <w:t>quỹ</w:t>
      </w:r>
      <w:r w:rsidRPr="001F3F26">
        <w:rPr>
          <w:rFonts w:ascii="Times New Roman" w:hAnsi="Times New Roman" w:cs="Times New Roman"/>
          <w:sz w:val="28"/>
        </w:rPr>
        <w:t xml:space="preserve"> Bảo hiểm hưu trí người lao động dành cho người lao động trong lĩnh </w:t>
      </w:r>
      <w:r w:rsidRPr="001F3F26">
        <w:rPr>
          <w:rFonts w:ascii="Times New Roman" w:hAnsi="Times New Roman" w:cs="Times New Roman"/>
          <w:sz w:val="28"/>
        </w:rPr>
        <w:lastRenderedPageBreak/>
        <w:t xml:space="preserve">vực tư nhân và </w:t>
      </w:r>
      <w:r w:rsidRPr="001F3F26">
        <w:rPr>
          <w:rFonts w:ascii="Times New Roman" w:hAnsi="Times New Roman" w:cs="Times New Roman"/>
          <w:sz w:val="28"/>
          <w:lang w:val="en-GB"/>
        </w:rPr>
        <w:t>quỹ</w:t>
      </w:r>
      <w:r w:rsidRPr="001F3F26">
        <w:rPr>
          <w:rFonts w:ascii="Times New Roman" w:hAnsi="Times New Roman" w:cs="Times New Roman"/>
          <w:sz w:val="28"/>
        </w:rPr>
        <w:t xml:space="preserve"> Hỗ trợ hưu trí cho công chức. Năm 2015, hai </w:t>
      </w:r>
      <w:r w:rsidRPr="001F3F26">
        <w:rPr>
          <w:rFonts w:ascii="Times New Roman" w:hAnsi="Times New Roman" w:cs="Times New Roman"/>
          <w:sz w:val="28"/>
          <w:lang w:val="en-GB"/>
        </w:rPr>
        <w:t>quỹ</w:t>
      </w:r>
      <w:r w:rsidRPr="001F3F26">
        <w:rPr>
          <w:rFonts w:ascii="Times New Roman" w:hAnsi="Times New Roman" w:cs="Times New Roman"/>
          <w:sz w:val="28"/>
        </w:rPr>
        <w:t xml:space="preserve"> này được hợp nhất thành </w:t>
      </w:r>
      <w:r w:rsidRPr="001F3F26">
        <w:rPr>
          <w:rFonts w:ascii="Times New Roman" w:hAnsi="Times New Roman" w:cs="Times New Roman"/>
          <w:sz w:val="28"/>
          <w:lang w:val="en-GB"/>
        </w:rPr>
        <w:t>quỹ</w:t>
      </w:r>
      <w:r w:rsidRPr="001F3F26">
        <w:rPr>
          <w:rFonts w:ascii="Times New Roman" w:hAnsi="Times New Roman" w:cs="Times New Roman"/>
          <w:sz w:val="28"/>
        </w:rPr>
        <w:t xml:space="preserve"> bảo hiểm hưu trí người lao động với mục đích giúp hài hoà trong cách đối xử với người lao động ở khu vực công và tư. Đây là một quỹ mức hưởng xác định được tính toán dựa trên mức lương trung bình trọn đời của người được bảo hiểm, số tháng được bảo hiểm và hệ số thay đổi phụ thuộc vào năm sinh của người được bảo hiểm</w:t>
      </w:r>
      <w:r w:rsidRPr="001F3F26">
        <w:rPr>
          <w:rFonts w:ascii="Times New Roman" w:eastAsia="Malgun Gothic" w:hAnsi="Times New Roman" w:cs="Times New Roman"/>
          <w:sz w:val="28"/>
          <w:lang w:eastAsia="ko-KR"/>
        </w:rPr>
        <w:t xml:space="preserve">. Ngoài ra, người được bảo hiểm có ít nhất 20 năm đóng góp có thể nhận phần bổ sung của người phụ thuộc trong trường hợp thu nhập của người bạn đời không vượt quá 8.500 Yên Nhật. Khoản đóng góp được kỳ vọng ở mức 18.3% vào năm 2017. Tỷ lệ phần trăm này bao gồm mức đóng góp vào chế độ Hưu trí quốc gia và chương trình bảo hiểm hưu trí người lao động và được chia giữa người được bảo hiểm và </w:t>
      </w:r>
      <w:r w:rsidRPr="001F3F26">
        <w:rPr>
          <w:rFonts w:ascii="Times New Roman" w:eastAsia="Malgun Gothic" w:hAnsi="Times New Roman" w:cs="Times New Roman"/>
          <w:sz w:val="28"/>
          <w:lang w:val="en-GB" w:eastAsia="ko-KR"/>
        </w:rPr>
        <w:t>người sử dụng</w:t>
      </w:r>
      <w:r w:rsidRPr="001F3F26">
        <w:rPr>
          <w:rFonts w:ascii="Times New Roman" w:eastAsia="Malgun Gothic" w:hAnsi="Times New Roman" w:cs="Times New Roman"/>
          <w:sz w:val="28"/>
          <w:lang w:eastAsia="ko-KR"/>
        </w:rPr>
        <w:t xml:space="preserve"> lao động. </w:t>
      </w:r>
    </w:p>
    <w:p w:rsidR="00BD2D33" w:rsidRPr="001F3F26" w:rsidRDefault="00BD2D33" w:rsidP="001F3F26">
      <w:pPr>
        <w:spacing w:before="120" w:after="0"/>
        <w:ind w:firstLine="720"/>
        <w:jc w:val="both"/>
        <w:rPr>
          <w:rFonts w:ascii="Times New Roman" w:hAnsi="Times New Roman" w:cs="Times New Roman"/>
          <w:sz w:val="28"/>
        </w:rPr>
      </w:pPr>
      <w:r w:rsidRPr="001F3F26">
        <w:rPr>
          <w:rFonts w:ascii="Times New Roman" w:eastAsia="Malgun Gothic" w:hAnsi="Times New Roman" w:cs="Times New Roman"/>
          <w:sz w:val="28"/>
          <w:lang w:eastAsia="ko-KR"/>
        </w:rPr>
        <w:t xml:space="preserve">Độ tuổi hưu trí là 60 nhưng đang dần tăng lên là 65 vào năm 2025 đối với nam giới và vào năm 2020 đối với phụ nữ. </w:t>
      </w:r>
    </w:p>
    <w:p w:rsidR="00BD2D33" w:rsidRPr="001F3F26" w:rsidRDefault="00BD2D33" w:rsidP="001F3F26">
      <w:pPr>
        <w:spacing w:before="120" w:after="0"/>
        <w:ind w:firstLine="720"/>
        <w:jc w:val="both"/>
        <w:rPr>
          <w:rFonts w:ascii="Times New Roman" w:hAnsi="Times New Roman" w:cs="Times New Roman"/>
          <w:sz w:val="28"/>
        </w:rPr>
      </w:pPr>
      <w:r w:rsidRPr="001F3F26">
        <w:rPr>
          <w:rFonts w:ascii="Times New Roman" w:hAnsi="Times New Roman" w:cs="Times New Roman"/>
          <w:sz w:val="28"/>
        </w:rPr>
        <w:t>Quỹ hưu trí cộng đồng tại Nhật Bản là quỹ hưu trí lớn nhất trên thế giới với khoản dự trữ được tích luỹ là 1,683 nghìn tỷ</w:t>
      </w:r>
      <w:r w:rsidR="001F3F26">
        <w:rPr>
          <w:rFonts w:ascii="Times New Roman" w:hAnsi="Times New Roman" w:cs="Times New Roman"/>
          <w:sz w:val="28"/>
        </w:rPr>
        <w:t xml:space="preserve"> USD</w:t>
      </w:r>
      <w:r w:rsidRPr="001F3F26">
        <w:rPr>
          <w:rFonts w:ascii="Times New Roman" w:hAnsi="Times New Roman" w:cs="Times New Roman"/>
          <w:sz w:val="28"/>
        </w:rPr>
        <w:t xml:space="preserve"> vào năm 2012. Quỹ này do Quỹ đầu tư hưu trí của chính phủ - được thành lập với vai trò là một thể chế hành chính độc lập vào năm 2006 - quản lý.  </w:t>
      </w:r>
    </w:p>
    <w:p w:rsidR="00C83984" w:rsidRDefault="00BD2D33" w:rsidP="00D6056B">
      <w:pPr>
        <w:spacing w:before="120" w:after="0"/>
        <w:ind w:firstLine="720"/>
        <w:jc w:val="both"/>
        <w:rPr>
          <w:rFonts w:ascii="Times New Roman" w:hAnsi="Times New Roman" w:cs="Times New Roman"/>
          <w:sz w:val="28"/>
        </w:rPr>
      </w:pPr>
      <w:r w:rsidRPr="001F3F26">
        <w:rPr>
          <w:rFonts w:ascii="Times New Roman" w:eastAsia="Malgun Gothic" w:hAnsi="Times New Roman" w:cs="Times New Roman"/>
          <w:sz w:val="28"/>
          <w:lang w:eastAsia="ko-KR"/>
        </w:rPr>
        <w:t xml:space="preserve">Cuối cùng, hệ thống này được bổ sung </w:t>
      </w:r>
      <w:r w:rsidRPr="001F3F26">
        <w:rPr>
          <w:rFonts w:ascii="Times New Roman" w:eastAsia="Malgun Gothic" w:hAnsi="Times New Roman" w:cs="Times New Roman"/>
          <w:sz w:val="28"/>
          <w:lang w:val="en-GB" w:eastAsia="ko-KR"/>
        </w:rPr>
        <w:t>cấp độ</w:t>
      </w:r>
      <w:r w:rsidRPr="001F3F26">
        <w:rPr>
          <w:rFonts w:ascii="Times New Roman" w:eastAsia="Malgun Gothic" w:hAnsi="Times New Roman" w:cs="Times New Roman"/>
          <w:sz w:val="28"/>
          <w:lang w:eastAsia="ko-KR"/>
        </w:rPr>
        <w:t xml:space="preserve"> thứ ba dành cho những người sẵn sàng nhận tỷ lệ thay thế cao hơn. Chế độ mang tính tuỳ chọn này do các tập đoàn tư nhân (người sử dụng lao động) mang lại cho người lao động của họ (thông qua quỹ hưu trí người lao động) </w:t>
      </w:r>
      <w:r w:rsidRPr="001F3F26">
        <w:rPr>
          <w:rFonts w:ascii="Times New Roman" w:hAnsi="Times New Roman" w:cs="Times New Roman"/>
          <w:sz w:val="28"/>
        </w:rPr>
        <w:t xml:space="preserve">hoặc do Quỹ hưu trí quốc gia cung cấp cho các đối tượng là người lao động tự do, trong trường hợp này thì chính phủ là người cung cấp bảo hiểm. Quỹ hưu trí người lao động do người chủ lao động quản lý, vận hành nhưng một phần lớn nguồn tài chính đến từ </w:t>
      </w:r>
      <w:r w:rsidRPr="001F3F26">
        <w:rPr>
          <w:rFonts w:ascii="Times New Roman" w:hAnsi="Times New Roman" w:cs="Times New Roman"/>
          <w:sz w:val="28"/>
          <w:lang w:val="en-GB"/>
        </w:rPr>
        <w:t>quỹ</w:t>
      </w:r>
      <w:r w:rsidRPr="001F3F26">
        <w:rPr>
          <w:rFonts w:ascii="Times New Roman" w:hAnsi="Times New Roman" w:cs="Times New Roman"/>
          <w:sz w:val="28"/>
        </w:rPr>
        <w:t xml:space="preserve"> Bảo hiểm hưu trí người lao động và do đó nó được coi là một chương trình bán công. Ngoài ra cũng có những chương trình hưu trí cá nhân được vận hành bởi các tổ chức như tập đoàn bảo hiểm tư nhân và ngân hàng uỷ thác</w:t>
      </w:r>
      <w:r w:rsidR="004C0095">
        <w:rPr>
          <w:rFonts w:ascii="Times New Roman" w:hAnsi="Times New Roman" w:cs="Times New Roman"/>
          <w:sz w:val="28"/>
        </w:rPr>
        <w:t>.</w:t>
      </w:r>
    </w:p>
    <w:p w:rsidR="00C83984" w:rsidRPr="002A35A0" w:rsidRDefault="00C83984" w:rsidP="00C83984">
      <w:pPr>
        <w:spacing w:before="120" w:after="0"/>
        <w:ind w:firstLine="720"/>
        <w:jc w:val="both"/>
        <w:rPr>
          <w:rFonts w:ascii="Times New Roman" w:hAnsi="Times New Roman" w:cs="Times New Roman"/>
          <w:b/>
          <w:sz w:val="28"/>
          <w:lang w:val="en-GB"/>
        </w:rPr>
      </w:pPr>
      <w:r w:rsidRPr="002A35A0">
        <w:rPr>
          <w:rFonts w:ascii="Times New Roman" w:hAnsi="Times New Roman" w:cs="Times New Roman"/>
          <w:b/>
          <w:sz w:val="28"/>
          <w:lang w:val="en-GB"/>
        </w:rPr>
        <w:t>4. Một số kinh nghiệm chính rút ra liên quan đến mở động đối tượng bao phủ BHXH</w:t>
      </w:r>
    </w:p>
    <w:p w:rsidR="00AB3E48" w:rsidRPr="002A35A0" w:rsidRDefault="00AB3E48" w:rsidP="00AA4BE4">
      <w:pPr>
        <w:spacing w:after="120" w:line="300" w:lineRule="auto"/>
        <w:ind w:firstLine="720"/>
        <w:jc w:val="both"/>
        <w:rPr>
          <w:rFonts w:asciiTheme="majorHAnsi" w:hAnsiTheme="majorHAnsi" w:cstheme="majorHAnsi"/>
          <w:color w:val="000000" w:themeColor="text1"/>
          <w:sz w:val="28"/>
          <w:szCs w:val="28"/>
        </w:rPr>
      </w:pPr>
      <w:r w:rsidRPr="002A35A0">
        <w:rPr>
          <w:rFonts w:ascii="Times New Roman" w:eastAsia="Calibri" w:hAnsi="Times New Roman" w:cs="Times New Roman"/>
          <w:spacing w:val="-4"/>
          <w:sz w:val="28"/>
          <w:szCs w:val="28"/>
          <w:lang w:val="pt-BR"/>
        </w:rPr>
        <w:t xml:space="preserve">(i) </w:t>
      </w:r>
      <w:r w:rsidRPr="002A35A0">
        <w:rPr>
          <w:rFonts w:asciiTheme="majorHAnsi" w:hAnsiTheme="majorHAnsi" w:cstheme="majorHAnsi"/>
          <w:color w:val="000000" w:themeColor="text1"/>
          <w:sz w:val="28"/>
          <w:szCs w:val="28"/>
        </w:rPr>
        <w:t>Nhà nước đóng vai trò quyết định trong mở rộng diện bao phủ BHXH thông qua quản lý, hoạch định chính sách và các quỹ BHXH và thông qua việc xây dựng các cơ chế đảm bảo hiệu lực thực hiện và hỗ trợ cho những nhóm dân số nhất định tham gia thông qua trợ cấp lương hưu bằng kinh phí từ ngân sách nhà nước hoặc trợ cấp/giảm các khoản đóng.</w:t>
      </w:r>
    </w:p>
    <w:p w:rsidR="00DA5906" w:rsidRPr="002A35A0" w:rsidRDefault="00DF097C" w:rsidP="00AA4BE4">
      <w:pPr>
        <w:spacing w:after="120" w:line="300" w:lineRule="auto"/>
        <w:ind w:firstLine="720"/>
        <w:jc w:val="both"/>
        <w:rPr>
          <w:rFonts w:ascii="Times New Roman" w:hAnsi="Times New Roman" w:cs="Times New Roman"/>
          <w:sz w:val="28"/>
          <w:lang w:val="en-GB"/>
        </w:rPr>
      </w:pPr>
      <w:r w:rsidRPr="002A35A0">
        <w:rPr>
          <w:rFonts w:asciiTheme="majorHAnsi" w:hAnsiTheme="majorHAnsi" w:cstheme="majorHAnsi"/>
          <w:color w:val="000000" w:themeColor="text1"/>
          <w:sz w:val="28"/>
          <w:szCs w:val="28"/>
        </w:rPr>
        <w:t xml:space="preserve">(ii) Để mở rộng thành công diện bao phủ hệ thống hưu trí, quốc gia cần phải kết hợp nhiều cơ chế cấp tài chính khác nhau để giải quyết vấn đề của các </w:t>
      </w:r>
      <w:r w:rsidRPr="002A35A0">
        <w:rPr>
          <w:rFonts w:asciiTheme="majorHAnsi" w:hAnsiTheme="majorHAnsi" w:cstheme="majorHAnsi"/>
          <w:color w:val="000000" w:themeColor="text1"/>
          <w:sz w:val="28"/>
          <w:szCs w:val="28"/>
        </w:rPr>
        <w:lastRenderedPageBreak/>
        <w:t>nhóm khác nhau và các mục tiêu của hệ thống hưu trí đa tầ</w:t>
      </w:r>
      <w:r w:rsidR="00DA5906" w:rsidRPr="002A35A0">
        <w:rPr>
          <w:rFonts w:asciiTheme="majorHAnsi" w:hAnsiTheme="majorHAnsi" w:cstheme="majorHAnsi"/>
          <w:color w:val="000000" w:themeColor="text1"/>
          <w:sz w:val="28"/>
          <w:szCs w:val="28"/>
        </w:rPr>
        <w:t xml:space="preserve">ng. Việc </w:t>
      </w:r>
      <w:r w:rsidR="00DA5906" w:rsidRPr="002A35A0">
        <w:rPr>
          <w:rFonts w:ascii="Times New Roman" w:hAnsi="Times New Roman" w:cs="Times New Roman"/>
          <w:sz w:val="28"/>
          <w:lang w:val="en-GB"/>
        </w:rPr>
        <w:t xml:space="preserve">kết hợp các chế độ trợ cấp khác nhau và thực hiện đồng bộ các giải pháp nhiều tầng cung cấp các phương án khác nhau có thể hỗ trợ thúc đẩy mở rộng phạm vi bao phủ của hệ thống theo cả chiều dọc và chiều ngang. </w:t>
      </w:r>
    </w:p>
    <w:p w:rsidR="00AA4BE4" w:rsidRPr="002A35A0" w:rsidRDefault="00DA5906" w:rsidP="005E3A34">
      <w:pPr>
        <w:spacing w:after="120" w:line="300" w:lineRule="auto"/>
        <w:ind w:firstLine="720"/>
        <w:jc w:val="both"/>
        <w:rPr>
          <w:rFonts w:ascii="Times New Roman" w:eastAsia="Calibri" w:hAnsi="Times New Roman" w:cs="Times New Roman"/>
          <w:b/>
          <w:i/>
          <w:sz w:val="28"/>
          <w:szCs w:val="28"/>
          <w:lang w:val="pt-BR"/>
        </w:rPr>
      </w:pPr>
      <w:r w:rsidRPr="002A35A0">
        <w:rPr>
          <w:rFonts w:ascii="Times New Roman" w:hAnsi="Times New Roman" w:cs="Times New Roman"/>
          <w:sz w:val="28"/>
          <w:lang w:val="en-GB"/>
        </w:rPr>
        <w:t xml:space="preserve">(iii) </w:t>
      </w:r>
      <w:r w:rsidR="00980C54" w:rsidRPr="002A35A0">
        <w:rPr>
          <w:rFonts w:ascii="Times New Roman" w:hAnsi="Times New Roman" w:cs="Times New Roman"/>
          <w:sz w:val="28"/>
          <w:lang w:val="en-GB"/>
        </w:rPr>
        <w:t xml:space="preserve">Chỉnh phủ đảm bảo </w:t>
      </w:r>
      <w:r w:rsidR="00980C54" w:rsidRPr="002A35A0">
        <w:rPr>
          <w:rFonts w:ascii="Times New Roman" w:hAnsi="Times New Roman" w:cs="Times New Roman"/>
          <w:sz w:val="28"/>
          <w:szCs w:val="28"/>
        </w:rPr>
        <w:t>từng bước thu hẹp khoảng trống bao phủ bằng cách kết hợp hai yếu tố đóng góp và không đóng góp trong cùng một hệ thống bảo hiểm xã hội đa tầng. Một trong những cách thức quan trọng là thông qua c</w:t>
      </w:r>
      <w:r w:rsidRPr="002A35A0">
        <w:rPr>
          <w:rFonts w:ascii="Times New Roman" w:hAnsi="Times New Roman" w:cs="Times New Roman"/>
          <w:sz w:val="28"/>
          <w:lang w:val="en-GB"/>
        </w:rPr>
        <w:t xml:space="preserve">ải cách pháp lý và chính sách để mở rộng diện bao phủ BHXH nói riêng và diện bao phủ </w:t>
      </w:r>
      <w:r w:rsidR="00980C54" w:rsidRPr="002A35A0">
        <w:rPr>
          <w:rFonts w:ascii="Times New Roman" w:hAnsi="Times New Roman" w:cs="Times New Roman"/>
          <w:sz w:val="28"/>
          <w:lang w:val="en-GB"/>
        </w:rPr>
        <w:t>ASXH nói chung</w:t>
      </w:r>
      <w:r w:rsidR="00531D72" w:rsidRPr="002A35A0">
        <w:rPr>
          <w:rFonts w:ascii="Times New Roman" w:hAnsi="Times New Roman" w:cs="Times New Roman"/>
          <w:sz w:val="28"/>
          <w:lang w:val="en-GB"/>
        </w:rPr>
        <w:t>. Đ</w:t>
      </w:r>
      <w:r w:rsidR="00980C54" w:rsidRPr="002A35A0">
        <w:rPr>
          <w:rFonts w:ascii="Times New Roman" w:hAnsi="Times New Roman" w:cs="Times New Roman"/>
          <w:sz w:val="28"/>
          <w:lang w:val="en-GB"/>
        </w:rPr>
        <w:t>ể đạt được điều đó, cần nghiên cứu b</w:t>
      </w:r>
      <w:r w:rsidR="00531D72" w:rsidRPr="002A35A0">
        <w:rPr>
          <w:rFonts w:ascii="Times New Roman" w:hAnsi="Times New Roman" w:cs="Times New Roman"/>
          <w:sz w:val="28"/>
          <w:lang w:val="en-GB"/>
        </w:rPr>
        <w:t>ổ</w:t>
      </w:r>
      <w:r w:rsidR="00980C54" w:rsidRPr="002A35A0">
        <w:rPr>
          <w:rFonts w:ascii="Times New Roman" w:hAnsi="Times New Roman" w:cs="Times New Roman"/>
          <w:sz w:val="28"/>
          <w:lang w:val="en-GB"/>
        </w:rPr>
        <w:t xml:space="preserve"> sung sửa đổi quy định </w:t>
      </w:r>
      <w:r w:rsidR="00531D72" w:rsidRPr="002A35A0">
        <w:rPr>
          <w:rFonts w:ascii="Times New Roman" w:hAnsi="Times New Roman" w:cs="Times New Roman"/>
          <w:sz w:val="28"/>
          <w:lang w:val="en-GB"/>
        </w:rPr>
        <w:t>m</w:t>
      </w:r>
      <w:r w:rsidR="00980C54" w:rsidRPr="002A35A0">
        <w:rPr>
          <w:rFonts w:ascii="Times New Roman" w:hAnsi="Times New Roman" w:cs="Times New Roman"/>
          <w:sz w:val="28"/>
          <w:lang w:val="en-GB"/>
        </w:rPr>
        <w:t>ở rộng cả đối tượng tham gia BHXH bắt buộc (</w:t>
      </w:r>
      <w:r w:rsidR="00531D72" w:rsidRPr="002A35A0">
        <w:rPr>
          <w:rFonts w:ascii="Times New Roman" w:hAnsi="Times New Roman" w:cs="Times New Roman"/>
          <w:sz w:val="28"/>
          <w:lang w:val="en-GB"/>
        </w:rPr>
        <w:t xml:space="preserve">chính thức việc làm phi chính thức, mở rộng sang nhóm </w:t>
      </w:r>
      <w:r w:rsidR="006F4797" w:rsidRPr="002A35A0">
        <w:rPr>
          <w:rFonts w:ascii="Times New Roman" w:hAnsi="Times New Roman" w:cs="Times New Roman"/>
          <w:sz w:val="28"/>
          <w:lang w:val="en-GB"/>
        </w:rPr>
        <w:t>các chủ hộ</w:t>
      </w:r>
      <w:r w:rsidR="00531D72" w:rsidRPr="002A35A0">
        <w:rPr>
          <w:rFonts w:ascii="Times New Roman" w:hAnsi="Times New Roman" w:cs="Times New Roman"/>
          <w:sz w:val="28"/>
          <w:lang w:val="en-GB"/>
        </w:rPr>
        <w:t xml:space="preserve"> kinh</w:t>
      </w:r>
      <w:r w:rsidR="006F4797" w:rsidRPr="002A35A0">
        <w:rPr>
          <w:rFonts w:ascii="Times New Roman" w:hAnsi="Times New Roman" w:cs="Times New Roman"/>
          <w:sz w:val="28"/>
          <w:lang w:val="en-GB"/>
        </w:rPr>
        <w:t xml:space="preserve"> doanh, người quản lý doanh nghiệp</w:t>
      </w:r>
      <w:r w:rsidR="00531D72" w:rsidRPr="002A35A0">
        <w:rPr>
          <w:rFonts w:ascii="Times New Roman" w:hAnsi="Times New Roman" w:cs="Times New Roman"/>
          <w:sz w:val="28"/>
          <w:lang w:val="en-GB"/>
        </w:rPr>
        <w:t xml:space="preserve"> quy mô nhỏ, các hợp tác xã, và nhóm</w:t>
      </w:r>
      <w:r w:rsidR="006F4797" w:rsidRPr="002A35A0">
        <w:rPr>
          <w:rFonts w:ascii="Times New Roman" w:hAnsi="Times New Roman" w:cs="Times New Roman"/>
          <w:sz w:val="28"/>
          <w:lang w:val="en-GB"/>
        </w:rPr>
        <w:t xml:space="preserve"> người lao động làm việc không trọn thời gian</w:t>
      </w:r>
      <w:r w:rsidR="00980C54" w:rsidRPr="002A35A0">
        <w:rPr>
          <w:rFonts w:ascii="Times New Roman" w:hAnsi="Times New Roman" w:cs="Times New Roman"/>
          <w:sz w:val="28"/>
          <w:lang w:val="en-GB"/>
        </w:rPr>
        <w:t>)</w:t>
      </w:r>
      <w:r w:rsidR="00531D72" w:rsidRPr="002A35A0">
        <w:rPr>
          <w:rFonts w:ascii="Times New Roman" w:hAnsi="Times New Roman" w:cs="Times New Roman"/>
          <w:sz w:val="28"/>
          <w:lang w:val="en-GB"/>
        </w:rPr>
        <w:t xml:space="preserve">; </w:t>
      </w:r>
      <w:r w:rsidR="00980C54" w:rsidRPr="002A35A0">
        <w:rPr>
          <w:rFonts w:ascii="Times New Roman" w:hAnsi="Times New Roman" w:cs="Times New Roman"/>
          <w:sz w:val="28"/>
          <w:lang w:val="en-GB"/>
        </w:rPr>
        <w:t xml:space="preserve">xem xét </w:t>
      </w:r>
      <w:r w:rsidR="00AA4BE4" w:rsidRPr="002A35A0">
        <w:rPr>
          <w:rFonts w:ascii="Times New Roman" w:eastAsia="Calibri" w:hAnsi="Times New Roman" w:cs="Times New Roman"/>
          <w:sz w:val="28"/>
          <w:szCs w:val="28"/>
          <w:lang w:val="pt-BR"/>
        </w:rPr>
        <w:t>bổ sung chế độ</w:t>
      </w:r>
      <w:r w:rsidR="00980C54" w:rsidRPr="002A35A0">
        <w:rPr>
          <w:rFonts w:ascii="Times New Roman" w:eastAsia="Calibri" w:hAnsi="Times New Roman" w:cs="Times New Roman"/>
          <w:sz w:val="28"/>
          <w:szCs w:val="28"/>
          <w:lang w:val="pt-BR"/>
        </w:rPr>
        <w:t xml:space="preserve"> ngắn hạn</w:t>
      </w:r>
      <w:r w:rsidR="00AA4BE4" w:rsidRPr="002A35A0">
        <w:rPr>
          <w:rFonts w:ascii="Times New Roman" w:eastAsia="Calibri" w:hAnsi="Times New Roman" w:cs="Times New Roman"/>
          <w:sz w:val="28"/>
          <w:szCs w:val="28"/>
          <w:lang w:val="pt-BR"/>
        </w:rPr>
        <w:t xml:space="preserve"> nhằm tăng hấp dẫn của BHXH tự nguyện</w:t>
      </w:r>
      <w:r w:rsidR="00531D72" w:rsidRPr="002A35A0">
        <w:rPr>
          <w:rFonts w:ascii="Times New Roman" w:eastAsia="Calibri" w:hAnsi="Times New Roman" w:cs="Times New Roman"/>
          <w:sz w:val="28"/>
          <w:szCs w:val="28"/>
          <w:lang w:val="pt-BR"/>
        </w:rPr>
        <w:t xml:space="preserve"> (ví dụ trợ cấp khi sinh con)</w:t>
      </w:r>
      <w:r w:rsidR="00980C54" w:rsidRPr="002A35A0">
        <w:rPr>
          <w:rFonts w:ascii="Times New Roman" w:eastAsia="Calibri" w:hAnsi="Times New Roman" w:cs="Times New Roman"/>
          <w:sz w:val="28"/>
          <w:szCs w:val="28"/>
          <w:lang w:val="pt-BR"/>
        </w:rPr>
        <w:t>.</w:t>
      </w:r>
      <w:r w:rsidR="004C5A9F" w:rsidRPr="002A35A0">
        <w:rPr>
          <w:rFonts w:ascii="Times New Roman" w:eastAsia="Calibri" w:hAnsi="Times New Roman" w:cs="Times New Roman"/>
          <w:sz w:val="28"/>
          <w:szCs w:val="28"/>
          <w:lang w:val="pt-BR"/>
        </w:rPr>
        <w:t xml:space="preserve"> Ngoải ra,</w:t>
      </w:r>
      <w:r w:rsidR="005E3A34" w:rsidRPr="002A35A0">
        <w:rPr>
          <w:rFonts w:ascii="Times New Roman" w:eastAsia="Calibri" w:hAnsi="Times New Roman" w:cs="Times New Roman"/>
          <w:sz w:val="28"/>
          <w:szCs w:val="28"/>
          <w:lang w:val="pt-BR"/>
        </w:rPr>
        <w:t xml:space="preserve"> </w:t>
      </w:r>
      <w:r w:rsidR="00531D72" w:rsidRPr="002A35A0">
        <w:rPr>
          <w:rFonts w:ascii="Times New Roman" w:eastAsia="Calibri" w:hAnsi="Times New Roman" w:cs="Times New Roman"/>
          <w:sz w:val="28"/>
          <w:szCs w:val="28"/>
          <w:lang w:val="pt-BR"/>
        </w:rPr>
        <w:t xml:space="preserve">cũng có thể </w:t>
      </w:r>
      <w:r w:rsidR="005E3A34" w:rsidRPr="002A35A0">
        <w:rPr>
          <w:rFonts w:ascii="Times New Roman" w:eastAsia="Calibri" w:hAnsi="Times New Roman" w:cs="Times New Roman"/>
          <w:sz w:val="28"/>
          <w:szCs w:val="28"/>
          <w:lang w:val="pt-BR"/>
        </w:rPr>
        <w:t xml:space="preserve">cân nhắc mở rộng diện bao phủ gắn liền với </w:t>
      </w:r>
      <w:r w:rsidR="005E3A34" w:rsidRPr="002A35A0">
        <w:rPr>
          <w:rFonts w:asciiTheme="majorHAnsi" w:hAnsiTheme="majorHAnsi" w:cstheme="majorHAnsi"/>
          <w:color w:val="000000" w:themeColor="text1"/>
          <w:sz w:val="28"/>
          <w:szCs w:val="28"/>
        </w:rPr>
        <w:t>cải cách các chế độ không mang tính chấ</w:t>
      </w:r>
      <w:r w:rsidR="00531D72" w:rsidRPr="002A35A0">
        <w:rPr>
          <w:rFonts w:asciiTheme="majorHAnsi" w:hAnsiTheme="majorHAnsi" w:cstheme="majorHAnsi"/>
          <w:color w:val="000000" w:themeColor="text1"/>
          <w:sz w:val="28"/>
          <w:szCs w:val="28"/>
        </w:rPr>
        <w:t>t đóng góp (như</w:t>
      </w:r>
      <w:r w:rsidR="005E3A34" w:rsidRPr="002A35A0">
        <w:rPr>
          <w:rFonts w:asciiTheme="majorHAnsi" w:hAnsiTheme="majorHAnsi" w:cstheme="majorHAnsi"/>
          <w:color w:val="000000" w:themeColor="text1"/>
          <w:sz w:val="28"/>
          <w:szCs w:val="28"/>
        </w:rPr>
        <w:t xml:space="preserve"> hạ thấp tuổi hợp lệ được nhận lương hưu từ nguồn trợ cấ</w:t>
      </w:r>
      <w:r w:rsidR="00531D72" w:rsidRPr="002A35A0">
        <w:rPr>
          <w:rFonts w:asciiTheme="majorHAnsi" w:hAnsiTheme="majorHAnsi" w:cstheme="majorHAnsi"/>
          <w:color w:val="000000" w:themeColor="text1"/>
          <w:sz w:val="28"/>
          <w:szCs w:val="28"/>
        </w:rPr>
        <w:t xml:space="preserve">p của ngân sách nhà nước). </w:t>
      </w:r>
      <w:r w:rsidR="005E3A34" w:rsidRPr="002A35A0">
        <w:rPr>
          <w:rFonts w:asciiTheme="majorHAnsi" w:hAnsiTheme="majorHAnsi" w:cstheme="majorHAnsi"/>
          <w:color w:val="000000" w:themeColor="text1"/>
          <w:sz w:val="28"/>
          <w:szCs w:val="28"/>
        </w:rPr>
        <w:t xml:space="preserve"> </w:t>
      </w:r>
    </w:p>
    <w:p w:rsidR="00AA4BE4" w:rsidRPr="008E2225" w:rsidRDefault="008E2225" w:rsidP="00C83984">
      <w:pPr>
        <w:spacing w:before="120" w:after="0"/>
        <w:ind w:firstLine="720"/>
        <w:jc w:val="both"/>
        <w:rPr>
          <w:rFonts w:ascii="Times New Roman" w:hAnsi="Times New Roman" w:cs="Times New Roman"/>
          <w:sz w:val="28"/>
          <w:lang w:val="en-GB"/>
        </w:rPr>
      </w:pPr>
      <w:r w:rsidRPr="002A35A0">
        <w:rPr>
          <w:rFonts w:ascii="Times New Roman" w:hAnsi="Times New Roman" w:cs="Times New Roman"/>
          <w:sz w:val="28"/>
          <w:lang w:val="en-GB"/>
        </w:rPr>
        <w:t xml:space="preserve">(iv) </w:t>
      </w:r>
      <w:r w:rsidR="004C5A9F" w:rsidRPr="002A35A0">
        <w:rPr>
          <w:rFonts w:ascii="Times New Roman" w:hAnsi="Times New Roman" w:cs="Times New Roman"/>
          <w:sz w:val="28"/>
          <w:lang w:val="en-GB"/>
        </w:rPr>
        <w:t xml:space="preserve">Bên cạnh việc </w:t>
      </w:r>
      <w:r w:rsidR="004C5A9F" w:rsidRPr="002A35A0">
        <w:rPr>
          <w:rFonts w:asciiTheme="majorHAnsi" w:hAnsiTheme="majorHAnsi" w:cstheme="majorHAnsi"/>
          <w:color w:val="000000" w:themeColor="text1"/>
          <w:sz w:val="28"/>
          <w:szCs w:val="28"/>
        </w:rPr>
        <w:t>Nhà nước cần phải tìm cách để biến đổi hệ thống BHXH trở lên hấp dẫn hơn, đảm bảo đơn giản hóa và hiệu quả các thủ tục đăng ký và giải quyết các chế độ quyền lợi về BHXH, đảm bảo tính hấp dẫn của các gói dịch vụ</w:t>
      </w:r>
      <w:r w:rsidR="004C5A9F" w:rsidRPr="002A35A0">
        <w:rPr>
          <w:rFonts w:ascii="Times New Roman" w:hAnsi="Times New Roman" w:cs="Times New Roman"/>
          <w:sz w:val="28"/>
          <w:lang w:val="en-GB"/>
        </w:rPr>
        <w:t xml:space="preserve"> phù hợp với từng nhóm đối tượng, Nhà nước cũng cần kết hợp tăng cường thực thi pháp luật và tuyên truyền, nâng cao nhận thức cho người dân, doanh nghiệp và các cơ quan có liên quan</w:t>
      </w:r>
      <w:r w:rsidR="008D4E40" w:rsidRPr="002A35A0">
        <w:rPr>
          <w:rFonts w:ascii="Times New Roman" w:hAnsi="Times New Roman" w:cs="Times New Roman"/>
          <w:sz w:val="28"/>
          <w:lang w:val="en-GB"/>
        </w:rPr>
        <w:t xml:space="preserve">, trong đó gắn trách nhiệm của </w:t>
      </w:r>
      <w:r w:rsidR="008D4E40" w:rsidRPr="002A35A0">
        <w:rPr>
          <w:rFonts w:ascii="Times New Roman" w:hAnsi="Times New Roman"/>
          <w:sz w:val="28"/>
          <w:szCs w:val="28"/>
        </w:rPr>
        <w:t>cơ quan tổ chức thực hiện chính sách BHXH đặc biệt trong việc nhận diện, quản lý chặt chẽ đối tượng tham gia BHXH theo quy định, hướng dẫn của pháp luật.</w:t>
      </w:r>
      <w:r w:rsidR="008D4E40">
        <w:rPr>
          <w:rFonts w:ascii="Times New Roman" w:hAnsi="Times New Roman"/>
          <w:sz w:val="28"/>
          <w:szCs w:val="28"/>
        </w:rPr>
        <w:t xml:space="preserve"> </w:t>
      </w:r>
    </w:p>
    <w:p w:rsidR="00960567" w:rsidRPr="00D6056B" w:rsidRDefault="008A4600" w:rsidP="00D6056B">
      <w:pPr>
        <w:spacing w:before="120" w:after="0"/>
        <w:ind w:firstLine="720"/>
        <w:jc w:val="both"/>
        <w:rPr>
          <w:rFonts w:asciiTheme="majorHAnsi" w:eastAsia="Arial" w:hAnsiTheme="majorHAnsi" w:cstheme="majorHAnsi"/>
          <w:b/>
          <w:sz w:val="28"/>
          <w:szCs w:val="28"/>
        </w:rPr>
      </w:pPr>
      <w:r w:rsidRPr="00D6056B">
        <w:rPr>
          <w:rFonts w:asciiTheme="majorHAnsi" w:eastAsia="Arial" w:hAnsiTheme="majorHAnsi" w:cstheme="majorHAnsi"/>
          <w:b/>
          <w:sz w:val="28"/>
          <w:szCs w:val="28"/>
        </w:rPr>
        <w:t xml:space="preserve">III. NỘI DUNG 3: VẤN ĐỀ VỀ </w:t>
      </w:r>
      <w:r w:rsidR="00960567" w:rsidRPr="00D6056B">
        <w:rPr>
          <w:rFonts w:asciiTheme="majorHAnsi" w:eastAsia="Arial" w:hAnsiTheme="majorHAnsi" w:cstheme="majorHAnsi"/>
          <w:b/>
          <w:sz w:val="28"/>
          <w:szCs w:val="28"/>
        </w:rPr>
        <w:t>CHẾ TÀI NHẰM GIẢM TÌNH TRẠNG CHẬM ĐÓNG, TRỐN ĐÓNG BHXH</w:t>
      </w:r>
    </w:p>
    <w:p w:rsidR="00D6056B" w:rsidRPr="00D6056B" w:rsidRDefault="00D6056B" w:rsidP="00D6056B">
      <w:pPr>
        <w:spacing w:before="120" w:after="0"/>
        <w:ind w:firstLine="720"/>
        <w:jc w:val="both"/>
        <w:rPr>
          <w:rFonts w:asciiTheme="majorHAnsi" w:hAnsiTheme="majorHAnsi" w:cstheme="majorHAnsi"/>
          <w:b/>
          <w:bCs/>
          <w:sz w:val="28"/>
          <w:szCs w:val="28"/>
          <w:lang w:val="vi-VN"/>
        </w:rPr>
      </w:pPr>
      <w:r>
        <w:rPr>
          <w:rFonts w:asciiTheme="majorHAnsi" w:hAnsiTheme="majorHAnsi" w:cstheme="majorHAnsi"/>
          <w:b/>
          <w:bCs/>
          <w:sz w:val="28"/>
          <w:szCs w:val="28"/>
        </w:rPr>
        <w:t xml:space="preserve">1. </w:t>
      </w:r>
      <w:r w:rsidRPr="00D6056B">
        <w:rPr>
          <w:rFonts w:asciiTheme="majorHAnsi" w:hAnsiTheme="majorHAnsi" w:cstheme="majorHAnsi"/>
          <w:b/>
          <w:bCs/>
          <w:sz w:val="28"/>
          <w:szCs w:val="28"/>
          <w:lang w:val="vi-VN"/>
        </w:rPr>
        <w:t>Trung Quốc</w:t>
      </w:r>
    </w:p>
    <w:p w:rsidR="00D6056B" w:rsidRPr="00B520A7" w:rsidRDefault="001473E4" w:rsidP="00D6056B">
      <w:pPr>
        <w:spacing w:before="120" w:after="0"/>
        <w:ind w:firstLine="720"/>
        <w:jc w:val="both"/>
        <w:rPr>
          <w:rFonts w:asciiTheme="majorHAnsi" w:hAnsiTheme="majorHAnsi" w:cstheme="majorHAnsi"/>
          <w:b/>
          <w:bCs/>
          <w:i/>
          <w:sz w:val="28"/>
          <w:szCs w:val="28"/>
          <w:lang w:val="vi-VN"/>
        </w:rPr>
      </w:pPr>
      <w:r>
        <w:rPr>
          <w:rFonts w:asciiTheme="majorHAnsi" w:hAnsiTheme="majorHAnsi" w:cstheme="majorHAnsi"/>
          <w:b/>
          <w:bCs/>
          <w:i/>
          <w:sz w:val="28"/>
          <w:szCs w:val="28"/>
        </w:rPr>
        <w:t>1.1.</w:t>
      </w:r>
      <w:r w:rsidR="005B2580">
        <w:rPr>
          <w:rFonts w:asciiTheme="majorHAnsi" w:hAnsiTheme="majorHAnsi" w:cstheme="majorHAnsi"/>
          <w:b/>
          <w:bCs/>
          <w:i/>
          <w:sz w:val="28"/>
          <w:szCs w:val="28"/>
        </w:rPr>
        <w:t xml:space="preserve"> </w:t>
      </w:r>
      <w:r w:rsidR="00D6056B" w:rsidRPr="00B520A7">
        <w:rPr>
          <w:rFonts w:asciiTheme="majorHAnsi" w:hAnsiTheme="majorHAnsi" w:cstheme="majorHAnsi"/>
          <w:b/>
          <w:bCs/>
          <w:i/>
          <w:sz w:val="28"/>
          <w:szCs w:val="28"/>
          <w:lang w:val="vi-VN"/>
        </w:rPr>
        <w:t xml:space="preserve">Hành vi </w:t>
      </w:r>
      <w:r w:rsidR="00D6056B" w:rsidRPr="00B520A7">
        <w:rPr>
          <w:rFonts w:asciiTheme="majorHAnsi" w:hAnsiTheme="majorHAnsi" w:cstheme="majorHAnsi"/>
          <w:b/>
          <w:bCs/>
          <w:i/>
          <w:sz w:val="28"/>
          <w:szCs w:val="28"/>
        </w:rPr>
        <w:t>trốn</w:t>
      </w:r>
      <w:r w:rsidR="00D6056B" w:rsidRPr="00B520A7">
        <w:rPr>
          <w:rFonts w:asciiTheme="majorHAnsi" w:hAnsiTheme="majorHAnsi" w:cstheme="majorHAnsi"/>
          <w:b/>
          <w:bCs/>
          <w:i/>
          <w:sz w:val="28"/>
          <w:szCs w:val="28"/>
          <w:lang w:val="vi-VN"/>
        </w:rPr>
        <w:t xml:space="preserve"> đóng BHXH</w:t>
      </w:r>
    </w:p>
    <w:p w:rsidR="00D6056B" w:rsidRPr="00D6056B" w:rsidRDefault="00D6056B" w:rsidP="00D6056B">
      <w:pPr>
        <w:shd w:val="clear" w:color="auto" w:fill="FFFFFF"/>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t xml:space="preserve">Trường hợp người sử dụng lao động không kê khai số tiền đóng bảo hiểm xã hội theo quy định thì xác định số tiền phải nộp theo 110% số tiền đóng tháng </w:t>
      </w:r>
      <w:r w:rsidR="004C0095">
        <w:rPr>
          <w:rFonts w:asciiTheme="majorHAnsi" w:eastAsia="Times New Roman" w:hAnsiTheme="majorHAnsi" w:cstheme="majorHAnsi"/>
          <w:sz w:val="28"/>
          <w:szCs w:val="28"/>
          <w:lang w:val="vi-VN" w:eastAsia="vi-VN"/>
        </w:rPr>
        <w:t xml:space="preserve">trước của đơn vị đó. </w:t>
      </w:r>
      <w:r w:rsidRPr="00D6056B">
        <w:rPr>
          <w:rFonts w:asciiTheme="majorHAnsi" w:eastAsia="Times New Roman" w:hAnsiTheme="majorHAnsi" w:cstheme="majorHAnsi"/>
          <w:sz w:val="28"/>
          <w:szCs w:val="28"/>
          <w:lang w:val="vi-VN" w:eastAsia="vi-VN"/>
        </w:rPr>
        <w:t>Sau khi đơn vị đóng bảo hiểm xã hội làm thủ tục kê khai bổ sung thì cơ quan thu bảo hiểm xã hội quyết toán theo quy định.</w:t>
      </w:r>
    </w:p>
    <w:p w:rsidR="00D6056B" w:rsidRPr="00D6056B" w:rsidRDefault="00D6056B" w:rsidP="00D6056B">
      <w:pPr>
        <w:shd w:val="clear" w:color="auto" w:fill="FFFFFF"/>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t xml:space="preserve">Trong trường hợp người sử dụng lao động không đóng bảo hiểm xã hội đầy đủ và đúng hạn, cơ quan thu bảo hiểm xã hội </w:t>
      </w:r>
      <w:r w:rsidRPr="00D6056B">
        <w:rPr>
          <w:rFonts w:asciiTheme="majorHAnsi" w:eastAsia="Times New Roman" w:hAnsiTheme="majorHAnsi" w:cstheme="majorHAnsi"/>
          <w:sz w:val="28"/>
          <w:szCs w:val="28"/>
          <w:lang w:eastAsia="vi-VN"/>
        </w:rPr>
        <w:t>yêu cầu</w:t>
      </w:r>
      <w:r w:rsidRPr="00D6056B">
        <w:rPr>
          <w:rFonts w:asciiTheme="majorHAnsi" w:eastAsia="Times New Roman" w:hAnsiTheme="majorHAnsi" w:cstheme="majorHAnsi"/>
          <w:sz w:val="28"/>
          <w:szCs w:val="28"/>
          <w:lang w:val="vi-VN" w:eastAsia="vi-VN"/>
        </w:rPr>
        <w:t xml:space="preserve"> đóng hoặc bổ sung trong thời hạn.</w:t>
      </w:r>
    </w:p>
    <w:p w:rsidR="00D6056B" w:rsidRPr="00D6056B" w:rsidRDefault="00D6056B" w:rsidP="00D6056B">
      <w:pPr>
        <w:shd w:val="clear" w:color="auto" w:fill="FFFFFF"/>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lastRenderedPageBreak/>
        <w:t>Trường hợp người sử dụng lao động quá hạn mà không đóng hoặc bổ sung bảo hiểm xã hội thì cơ quan thu bảo hiểm xã hội có thể tra cứu tài khoản tiền gửi của người sử dụng lao động từ ngân hàng và các tổ chức tài chính khác; Và có thể nộp đơn cho các cơ quan hành chính có liên quan từ cấp huyện trở lên để ra quyết định phân bổ đóng bảo hiểm xã hội, thông báo bằng văn bản cho ngân hàng mở tài khoản hoặc các tổ chức tài chính khác để phân bổ đóng bảo hiểm xã hội. Trong trường hợp số dư tài khoản của người sử dụng lao động nhỏ hơn số tiền bảo hiểm xã hội phải nộp thì cơ quan thu bảo hiểm xã hội có thể yêu cầu người sử dụng lao động cung cấp bảo lãnh và ký kết thỏa thuận gia hạn đóng.</w:t>
      </w:r>
    </w:p>
    <w:p w:rsidR="00D6056B" w:rsidRPr="00D6056B" w:rsidRDefault="00D6056B" w:rsidP="00D6056B">
      <w:pPr>
        <w:shd w:val="clear" w:color="auto" w:fill="FFFFFF"/>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t>Trường hợp đơn vị sử dụng lao động chưa đóng bảo hiểm xã hội đầy đủ và không bảo lãnh thì cơ quan thu bảo hiểm xã hội có thể nộp hồ sơ lên Tòa án nhân dân để thu giữ, niêm phong, bán đấu giá tài sản có giá trị tương đương với số tiền phải đóng bảo hiểm xã hội để được khấu trừ đóng bảo hiểm xã hội.</w:t>
      </w:r>
    </w:p>
    <w:p w:rsidR="00D6056B" w:rsidRPr="00B520A7" w:rsidRDefault="001473E4" w:rsidP="00D6056B">
      <w:pPr>
        <w:spacing w:before="120" w:after="0"/>
        <w:ind w:firstLine="720"/>
        <w:jc w:val="both"/>
        <w:rPr>
          <w:rFonts w:asciiTheme="majorHAnsi" w:hAnsiTheme="majorHAnsi" w:cstheme="majorHAnsi"/>
          <w:b/>
          <w:bCs/>
          <w:i/>
          <w:sz w:val="28"/>
          <w:szCs w:val="28"/>
          <w:lang w:val="vi-VN"/>
        </w:rPr>
      </w:pPr>
      <w:r>
        <w:rPr>
          <w:rFonts w:asciiTheme="majorHAnsi" w:hAnsiTheme="majorHAnsi" w:cstheme="majorHAnsi"/>
          <w:b/>
          <w:bCs/>
          <w:i/>
          <w:sz w:val="28"/>
          <w:szCs w:val="28"/>
        </w:rPr>
        <w:t>1.2.</w:t>
      </w:r>
      <w:r w:rsidR="00D6056B" w:rsidRPr="00B520A7">
        <w:rPr>
          <w:rFonts w:asciiTheme="majorHAnsi" w:hAnsiTheme="majorHAnsi" w:cstheme="majorHAnsi"/>
          <w:b/>
          <w:bCs/>
          <w:i/>
          <w:sz w:val="28"/>
          <w:szCs w:val="28"/>
          <w:lang w:val="vi-VN"/>
        </w:rPr>
        <w:t xml:space="preserve"> Khiếu nại, tố cáo về BHXH</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Theo điều 82 Luật Bảo hiểm xã hội Trung Quốc, tổ chức, cá nhân có quyền báo cáo, khiếu nại về việc không tuân thủ pháp luật về bảo hiểm xã hội. Cơ quan quản lý nhà nước về bảo hiểm xã hội, quản lý nhà nước về y tế, cơ quan bảo hiểm xã hội, cơ quan thu phí bảo hiểm xã hội, cơ quan tài chính, cơ quan kiểm toán giải quyết các khiếu nại, tố cáo thuộc thẩm quyền theo thẩm quyền; đối với trường hợp vượt quá thẩm quyền thì thông báo bằng văn bản kèm theo các tài liệu nhận được cho cơ quan có thẩm quyền thích hợp để giải quyết. Các cơ quan có thẩm quyền thích hợp sẽ xử lý các khiếu nại và báo cáo một cách kịp thời và mọi hành vi né tránh trách nhiệm bị nghiêm cấm.</w:t>
      </w:r>
    </w:p>
    <w:p w:rsidR="003E711E"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Khi người sử dụng lao động hoặc cá nhân cho rằng lợi ích hợp pháp của mình bị xâm phạm bởi cơ quan thu bảo hiểm xã hội thì có quyền yêu cầu xem xét lại hành chính hoặc khởi kiện hành chính theo quy định của pháp luật. </w:t>
      </w:r>
    </w:p>
    <w:p w:rsidR="003E711E"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Đối với bất kỳ sự không tuân thủ của cơ quan bảo hiểm xã hội về đăng ký bảo hiểm xã hội, tính và xác định đóng bảo hiểm xã hội, chi trả nghĩa vụ bảo hiểm xã hội, chuyển đổi quan hệ bảo hiểm xã hội và các hành vi vi phạm quyền bảo hiểm xã hội khác thì người sử dụng lao động hoặc cá nhân có liên quan có thể nộp đơn yêu cầu xem xét lại hoặc khởi kiện hành chính theo quy định của pháp luật.</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 Khi xảy ra tranh chấp về bảo hiểm xã hội giữa cá nhân với người sử dụng lao động, người đó có thể nộp đơn yêu cầu hòa giải, trọng tài hoặc khởi kiện tại tòa án theo quy định của pháp luật. Khi người sử dụng lao động vi phạm quyền bảo hiểm xã hội của của cá nhân thì cá nhân đó cũng có thể yêu cầu cơ quan bảo hiểm xã hội, cơ quan thu bảo hiểm xã hội giải quyết theo quy định của pháp luật.</w:t>
      </w:r>
    </w:p>
    <w:p w:rsidR="00D6056B" w:rsidRPr="00B520A7" w:rsidRDefault="001473E4" w:rsidP="00D6056B">
      <w:pPr>
        <w:spacing w:before="120" w:after="0"/>
        <w:ind w:firstLine="720"/>
        <w:jc w:val="both"/>
        <w:rPr>
          <w:rFonts w:asciiTheme="majorHAnsi" w:hAnsiTheme="majorHAnsi" w:cstheme="majorHAnsi"/>
          <w:b/>
          <w:bCs/>
          <w:i/>
          <w:sz w:val="28"/>
          <w:szCs w:val="28"/>
          <w:lang w:val="vi-VN"/>
        </w:rPr>
      </w:pPr>
      <w:r>
        <w:rPr>
          <w:rFonts w:asciiTheme="majorHAnsi" w:hAnsiTheme="majorHAnsi" w:cstheme="majorHAnsi"/>
          <w:b/>
          <w:bCs/>
          <w:i/>
          <w:sz w:val="28"/>
          <w:szCs w:val="28"/>
        </w:rPr>
        <w:lastRenderedPageBreak/>
        <w:t>1.3.</w:t>
      </w:r>
      <w:r w:rsidR="00D6056B" w:rsidRPr="00B520A7">
        <w:rPr>
          <w:rFonts w:asciiTheme="majorHAnsi" w:hAnsiTheme="majorHAnsi" w:cstheme="majorHAnsi"/>
          <w:b/>
          <w:bCs/>
          <w:i/>
          <w:sz w:val="28"/>
          <w:szCs w:val="28"/>
          <w:lang w:val="vi-VN"/>
        </w:rPr>
        <w:t xml:space="preserve"> Hành vi vi phạm về bảo hiểm xã hội</w:t>
      </w:r>
    </w:p>
    <w:p w:rsidR="005B2580"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Khi người sử dụng lao động làm thủ tục đăng ký bảo hiểm xã hội không chính xác, cơ quan bảo hiểm xã hộ</w:t>
      </w:r>
      <w:r w:rsidR="004C0095">
        <w:rPr>
          <w:rFonts w:asciiTheme="majorHAnsi" w:hAnsiTheme="majorHAnsi" w:cstheme="majorHAnsi"/>
          <w:sz w:val="28"/>
          <w:szCs w:val="28"/>
          <w:lang w:val="vi-VN"/>
        </w:rPr>
        <w:t>i phải</w:t>
      </w:r>
      <w:r w:rsidRPr="00D6056B">
        <w:rPr>
          <w:rFonts w:asciiTheme="majorHAnsi" w:hAnsiTheme="majorHAnsi" w:cstheme="majorHAnsi"/>
          <w:sz w:val="28"/>
          <w:szCs w:val="28"/>
          <w:lang w:val="vi-VN"/>
        </w:rPr>
        <w:t xml:space="preserve"> yêu cầu bằng văn bản để người sử dụng lao động điều chỉnh trong thời hạn quy định. Khi hết thời hạn quy định mà người sử dụng lao động không điều chỉnh thì phải chịu trách nhiệm thanh toán tiền phạt đối với số tiền nợ đóng bảo hiểm xã hội đã được giám định nhưng không quá 3 lần số tiền này; tiền phạt đối với người lao động chịu trách nhiệm trực tiếp và người liên quan khác có trách nhiệm trực tiếp là trên 500 nhưng dưới 3000 nhân dân tệ. </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Khi người sử dụng lao động từ chối cung cấp tài liệu về chấm dứt hoặc huỷ bỏ quan hệ lao động, việc xử phạt sẽ được thực hiện theo Luật Hợp đồng lao động của Trung Quốc.</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Khi người sử dụng lao động không nộp các khoản đóng góp bảo hiểm xã hội đúng thời hạn và đầy đủ, cơ quan thu bảo hiểm xã hội phải có văn bản yêu cầu người sử dụng lao động thanh toán đầy đủ trong thời hạn quy định và nộp một khoản tiền phạt ở mức 5/10.000 cho mỗi ngày quá hạn nộp. Khi hết thời hạn mà người sử dụng lao động chưa thanh toán khoản nợ, cơ quan quản lý nhà nước có thẩm quyền sẽ xử phạt với mức nhiều hơn mức nợ nhưng không quá 3 lần số nợ này. </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Khi cơ quan dịch vụ bảo hiểm xã hội gồm cơ quan bảo hiểm xã hội, cơ sở khám chữa bệnh, cơ quan cung cấp dược phẩm lạm dụng tiền trả từ quỹ bảo hiểm xã hội bằng cách gian lận, giả mạo hồ sơ, tài liệu hoặc các hình thức khác, cơ quan quản lý nhà nước về bảo hiểm xã hội yêu cầu trả lại khoản tiền đã gian lận và quyết định xử phạt số tiền lớn gấp đôi nhưng thấp hơn không quá 5 lần của số tiền bị chiếm đoạt. Trường hợp cơ quan có thẩm quyền là một bên có hợp đồng cung cấp dịch vụ bảo hiểm xã hội thì hợp đồng đó bị chấm dứt; nếu người có trách nhiệm trực tiếp và người khác có trách nhiệm trực tiếp được cấp giấy phép thì bị thu hồi giấy phép theo quy định của pháp luật. </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Đối với hành vi gian dối hưởng bảo hiểm xã hội thông qua gian lận, giả mạo hồ sơ, tài liệu hay các hình thức khác, cơ quan quản lý nhà nước về bảo hiểm xã hội yêu cầu trả lại tiền bảo hiểm xã hội bị chiếm đoạt và xử phạt số tiền không ít hơn 2 lần nhưng không nhiều hơn 5 lần số tiền bị chiếm đoạt.</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Khi cơ quan bảo hiểm xã hội và nhân viên bảo hiểm xã hội có hành vi vi phạm thuộc danh mục sau, cơ quan quản lý nhà nước về bảo hiểm xã hội có trách nhiệm yêu cầu khắc phục. Khi gây thiệt hại cho quỹ bảo hiểm xã hội, người sử dụng lao động hoặc cá nhân chịu trách nhiệm cho các thiệt hại phải bồi thường </w:t>
      </w:r>
      <w:r w:rsidRPr="00D6056B">
        <w:rPr>
          <w:rFonts w:asciiTheme="majorHAnsi" w:hAnsiTheme="majorHAnsi" w:cstheme="majorHAnsi"/>
          <w:sz w:val="28"/>
          <w:szCs w:val="28"/>
          <w:lang w:val="vi-VN"/>
        </w:rPr>
        <w:lastRenderedPageBreak/>
        <w:t xml:space="preserve">theo quy định của pháp luật. Người chịu trách nhiệm chính, người chịu trách nhiệm trực tiếp có liên quan sẽ bị xử lý theo pháp luật: </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Không thực hiện chế độ bảo hiểm xã hội;</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Không gửi quỹ bảo hiểm xã hội vào tài khoản chuyên dụng;</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Không thanh toán hoặc từ chối thanh toán đúng hạn các nghĩa vụ bảo hiểm xã hội;</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Thiếu hoặc giải thích số liệu về bảo hiểm xã hội như hồ sơ đóng góp, hồ sơ thanh toán trợ cấp bảo hiểm xã hội, hồ sơ tín dụng cá nhân;</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Bất kỳ sự không tuân thủ khác của luật và các quy định về bảo hiểm xã hội.</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Khi cơ quan thu phí bảo hiểm xã hội sửa đổi không được uỷ quyền/ cho phép mà thay đổi căn cứ đóng, tỷ lệ đóng dẫn đến đóng thiếu hoặc đóng thừa phí bảo hiểm xã hội, cơ quan quản lý nhà nước có thẩm quyền phải thu đủ phần còn thiếu hoặc hoàn trả phần thu thừa. Người chịu trách nhiệm chính và người liên quan trực tiếp sẽ bị xử phạt theo quy định của luật. </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Đối với hành vi vi phạm pháp luật có liên quan đến che giấu, chuyển đổi quan hệ bảo hiểm xã hội, chiếm dụng, chiếm đoạt quỹ bảo hiểm xã hội, tham gia hoạt động đầu tư trái quy định, cơ quan quản lý nhà nước về bảo hiểm xã hội, cơ quan tài chính, cơ quan kiểm toán ra quyết định yêu cầu hoàn trả các quỹ sử dụng sai quy định. Trường hợp thu lợi bất hợp pháp, khoản lợi này sẽ bị thu hồi. Người chịu trách nhiệm chính và người liên quan trực tiếp sẽ bị xử phạt theo quy định của pháp luật.</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Khi cơ quan quản lý nhà nước về bảo hiểm xã hội hoặc các cơ quan quản lý nhà nước liên quan, cơ quan bảo hiểm xã hội, cơ quan thu bảo hiểm xã hội, nhân viên của cơ quan bảo hiểm xã hội tiết lộ thông tin trái pháp luật liên quan đến người sử dụng lao động hoặc cá nhân thì người chịu trách nhiệm chính và người liên quan sẽ bị xử phạt theo quy định của pháp luật.</w:t>
      </w:r>
    </w:p>
    <w:p w:rsid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Cán bộ, công chức lợi dụng quyền lực, xao nhãng trách nhiệm hoặc có hành vi gian lận vì lợi ích cá nhận thì bị xử phạt theo quy định của pháp luật.</w:t>
      </w:r>
      <w:r w:rsidR="00B520A7">
        <w:rPr>
          <w:rFonts w:asciiTheme="majorHAnsi" w:hAnsiTheme="majorHAnsi" w:cstheme="majorHAnsi"/>
          <w:sz w:val="28"/>
          <w:szCs w:val="28"/>
        </w:rPr>
        <w:t xml:space="preserve"> </w:t>
      </w:r>
      <w:r w:rsidRPr="00D6056B">
        <w:rPr>
          <w:rFonts w:asciiTheme="majorHAnsi" w:hAnsiTheme="majorHAnsi" w:cstheme="majorHAnsi"/>
          <w:sz w:val="28"/>
          <w:szCs w:val="28"/>
          <w:lang w:val="vi-VN"/>
        </w:rPr>
        <w:t>Hành vi vi phạm pháp luật có dấu hiệu tội phạm phải chịu trách nhiệm hình sự.</w:t>
      </w:r>
    </w:p>
    <w:p w:rsidR="00D6056B" w:rsidRPr="00B520A7" w:rsidRDefault="001473E4" w:rsidP="00D6056B">
      <w:pPr>
        <w:spacing w:before="120" w:after="0"/>
        <w:ind w:firstLine="720"/>
        <w:jc w:val="both"/>
        <w:rPr>
          <w:rFonts w:asciiTheme="majorHAnsi" w:hAnsiTheme="majorHAnsi" w:cstheme="majorHAnsi"/>
          <w:b/>
          <w:i/>
          <w:sz w:val="28"/>
          <w:szCs w:val="28"/>
        </w:rPr>
      </w:pPr>
      <w:r>
        <w:rPr>
          <w:rFonts w:asciiTheme="majorHAnsi" w:hAnsiTheme="majorHAnsi" w:cstheme="majorHAnsi"/>
          <w:b/>
          <w:i/>
          <w:sz w:val="28"/>
          <w:szCs w:val="28"/>
        </w:rPr>
        <w:t>1.4.</w:t>
      </w:r>
      <w:r w:rsidR="00D6056B" w:rsidRPr="00B520A7">
        <w:rPr>
          <w:rFonts w:asciiTheme="majorHAnsi" w:hAnsiTheme="majorHAnsi" w:cstheme="majorHAnsi"/>
          <w:b/>
          <w:i/>
          <w:sz w:val="28"/>
          <w:szCs w:val="28"/>
        </w:rPr>
        <w:t xml:space="preserve"> Thanh tra bảo hiểm xã hội</w:t>
      </w:r>
    </w:p>
    <w:p w:rsidR="003E711E" w:rsidRDefault="00D6056B" w:rsidP="00D6056B">
      <w:pPr>
        <w:spacing w:before="120" w:after="0"/>
        <w:ind w:firstLine="720"/>
        <w:jc w:val="both"/>
        <w:rPr>
          <w:rFonts w:asciiTheme="majorHAnsi" w:hAnsiTheme="majorHAnsi" w:cstheme="majorHAnsi"/>
          <w:sz w:val="28"/>
          <w:szCs w:val="28"/>
        </w:rPr>
      </w:pPr>
      <w:r w:rsidRPr="00D6056B">
        <w:rPr>
          <w:rFonts w:asciiTheme="majorHAnsi" w:hAnsiTheme="majorHAnsi" w:cstheme="majorHAnsi"/>
          <w:sz w:val="28"/>
          <w:szCs w:val="28"/>
        </w:rPr>
        <w:t xml:space="preserve">Tại điều 76 Luật Bảo hiểm xã hội Trung Quốc có quy định, Thường trực Hội đồng Nhân dân các cấp được Chính quyền đồng cấp báo cáo về tình hình thu chi bảo hiểm xã hội, quản lý, hoạt động đầu tư, giám sát quỹ bảo hểm xã hội; tổ </w:t>
      </w:r>
      <w:r w:rsidRPr="00D6056B">
        <w:rPr>
          <w:rFonts w:asciiTheme="majorHAnsi" w:hAnsiTheme="majorHAnsi" w:cstheme="majorHAnsi"/>
          <w:sz w:val="28"/>
          <w:szCs w:val="28"/>
        </w:rPr>
        <w:lastRenderedPageBreak/>
        <w:t xml:space="preserve">chức kiểm tra việc tuân thủ luật pháp và thực hiện chức năng giám sát theo quy định của pháp luật. </w:t>
      </w:r>
    </w:p>
    <w:p w:rsidR="00D6056B" w:rsidRPr="00D6056B" w:rsidRDefault="00D6056B" w:rsidP="00D6056B">
      <w:pPr>
        <w:spacing w:before="120" w:after="0"/>
        <w:ind w:firstLine="720"/>
        <w:jc w:val="both"/>
        <w:rPr>
          <w:rFonts w:asciiTheme="majorHAnsi" w:hAnsiTheme="majorHAnsi" w:cstheme="majorHAnsi"/>
          <w:sz w:val="28"/>
          <w:szCs w:val="28"/>
        </w:rPr>
      </w:pPr>
      <w:r w:rsidRPr="00D6056B">
        <w:rPr>
          <w:rFonts w:asciiTheme="majorHAnsi" w:hAnsiTheme="majorHAnsi" w:cstheme="majorHAnsi"/>
          <w:sz w:val="28"/>
          <w:szCs w:val="28"/>
        </w:rPr>
        <w:t>Cơ quan quản lý bảo hiểm xã hội của chính quyền nhân dân từ cấp huyện trở lên tăng cường giám sát, kiểm tra việc chấp hành pháp luật và quy định của bảo hiểm xã hội của người sử dụng lao động và cá nhân. Khi cơ quan quản lý nhà nước về bảo hiểm xã hội thực hiện kiểm tra, giám sát, người sử dụng lao động và cá nhân có liên quan phải cung cấp các tài liệu, dữ liệu liên quan đến bảo hiểm xã hội một cách trung thực và không từ chối kiểm tra, cung cấp thông tin gian lận hoặc báo cáo không đầy đủ. Bộ tài chính và cơ quan kiểm toán thực hiện giám sát hoạt động thu, quản lý và đầu tư của quỹ bảo hiểm xã hội theo chức năng, nhiệm vụ của mình.</w:t>
      </w:r>
    </w:p>
    <w:p w:rsidR="00D6056B" w:rsidRPr="00D6056B" w:rsidRDefault="00D6056B" w:rsidP="00D6056B">
      <w:pPr>
        <w:spacing w:before="120" w:after="0"/>
        <w:ind w:firstLine="720"/>
        <w:jc w:val="both"/>
        <w:rPr>
          <w:rFonts w:asciiTheme="majorHAnsi" w:hAnsiTheme="majorHAnsi" w:cstheme="majorHAnsi"/>
          <w:sz w:val="28"/>
          <w:szCs w:val="28"/>
        </w:rPr>
      </w:pPr>
      <w:r w:rsidRPr="00D6056B">
        <w:rPr>
          <w:rFonts w:asciiTheme="majorHAnsi" w:hAnsiTheme="majorHAnsi" w:cstheme="majorHAnsi"/>
          <w:sz w:val="28"/>
          <w:szCs w:val="28"/>
        </w:rPr>
        <w:t>Về việc thực hiện giám sát, kiểm tra các quỹ bảo hiểm xã hội về</w:t>
      </w:r>
      <w:r w:rsidR="00B520A7">
        <w:rPr>
          <w:rFonts w:asciiTheme="majorHAnsi" w:hAnsiTheme="majorHAnsi" w:cstheme="majorHAnsi"/>
          <w:sz w:val="28"/>
          <w:szCs w:val="28"/>
        </w:rPr>
        <w:t xml:space="preserve"> thu -</w:t>
      </w:r>
      <w:r w:rsidRPr="00D6056B">
        <w:rPr>
          <w:rFonts w:asciiTheme="majorHAnsi" w:hAnsiTheme="majorHAnsi" w:cstheme="majorHAnsi"/>
          <w:sz w:val="28"/>
          <w:szCs w:val="28"/>
        </w:rPr>
        <w:t xml:space="preserve"> chi bảo hiểm xã hội, quản lý và hoạt động đầu tư, Luật Bảo hiểm xã hội Trung Quốc đã quy định khi cơ quan quản lý nhà nước về bảo hiểm xã hội phát hiện sai phạm, cơ quan này sẽ đưa ra kiến nghị, ban hành quyết định xử phạt theo quy định. Báo cáo thanh tra về quỹ bảo hiểm xã hội được cung cấp định kỳ cho công chúng. Cơ quan quản lý nhà nước về bảo hiểm xã hội có quyền thực hiện các biện pháp sau khi tiến hành kiểm tra, thanh tra đối với quỹ bảo hiểm xã hội:</w:t>
      </w:r>
    </w:p>
    <w:p w:rsidR="00D6056B" w:rsidRPr="00D6056B" w:rsidRDefault="00D6056B" w:rsidP="00D6056B">
      <w:pPr>
        <w:spacing w:before="120" w:after="0"/>
        <w:ind w:firstLine="720"/>
        <w:jc w:val="both"/>
        <w:rPr>
          <w:rFonts w:asciiTheme="majorHAnsi" w:hAnsiTheme="majorHAnsi" w:cstheme="majorHAnsi"/>
          <w:sz w:val="28"/>
          <w:szCs w:val="28"/>
        </w:rPr>
      </w:pPr>
      <w:r w:rsidRPr="00D6056B">
        <w:rPr>
          <w:rFonts w:asciiTheme="majorHAnsi" w:hAnsiTheme="majorHAnsi" w:cstheme="majorHAnsi"/>
          <w:sz w:val="28"/>
          <w:szCs w:val="28"/>
        </w:rPr>
        <w:t>- Truy cập, ghi chép và sao chụp các tài liệu liên quan đến thu bảo hiểm xã hội, thu - chi bảo hiểm xã hội, quản lý, hoạt động đầu tư của quỹ bảo hiểm xã hội, niêm phong các tài liệu, vật chứng có thể bị di chuyển, che giấu hoặc tiêu huỷ để bảo vệ an toàn;</w:t>
      </w:r>
    </w:p>
    <w:p w:rsidR="00D6056B" w:rsidRPr="00D6056B" w:rsidRDefault="00D6056B" w:rsidP="00D6056B">
      <w:pPr>
        <w:spacing w:before="120" w:after="0"/>
        <w:ind w:firstLine="720"/>
        <w:jc w:val="both"/>
        <w:rPr>
          <w:rFonts w:asciiTheme="majorHAnsi" w:hAnsiTheme="majorHAnsi" w:cstheme="majorHAnsi"/>
          <w:sz w:val="28"/>
          <w:szCs w:val="28"/>
        </w:rPr>
      </w:pPr>
      <w:r w:rsidRPr="00D6056B">
        <w:rPr>
          <w:rFonts w:asciiTheme="majorHAnsi" w:hAnsiTheme="majorHAnsi" w:cstheme="majorHAnsi"/>
          <w:sz w:val="28"/>
          <w:szCs w:val="28"/>
        </w:rPr>
        <w:t>- Làm việc với người sử dụng lao động và các cá nhân liên quan đến công tác thanh tra và yêu cầu họ giải thích và cung cấp bằng chứng liên quan đến các vấn đề đang được thanh tra;</w:t>
      </w:r>
    </w:p>
    <w:p w:rsidR="00D6056B" w:rsidRPr="00D6056B" w:rsidRDefault="00D6056B" w:rsidP="00D6056B">
      <w:pPr>
        <w:spacing w:before="120" w:after="0"/>
        <w:ind w:firstLine="720"/>
        <w:jc w:val="both"/>
        <w:rPr>
          <w:rFonts w:asciiTheme="majorHAnsi" w:hAnsiTheme="majorHAnsi" w:cstheme="majorHAnsi"/>
          <w:sz w:val="28"/>
          <w:szCs w:val="28"/>
        </w:rPr>
      </w:pPr>
      <w:r w:rsidRPr="00D6056B">
        <w:rPr>
          <w:rFonts w:asciiTheme="majorHAnsi" w:hAnsiTheme="majorHAnsi" w:cstheme="majorHAnsi"/>
          <w:sz w:val="28"/>
          <w:szCs w:val="28"/>
        </w:rPr>
        <w:t>- Ngăn chặn hành vi cất giấu, chuyển nhượng, chiếm đoạt, lạm dụng quỹ bảo hiểm xã hội và yêu cầu khắc phục.</w:t>
      </w:r>
    </w:p>
    <w:p w:rsidR="00D6056B" w:rsidRPr="00D6056B" w:rsidRDefault="00D6056B" w:rsidP="00D6056B">
      <w:pPr>
        <w:spacing w:before="120" w:after="0"/>
        <w:ind w:firstLine="720"/>
        <w:jc w:val="both"/>
        <w:rPr>
          <w:rFonts w:asciiTheme="majorHAnsi" w:hAnsiTheme="majorHAnsi" w:cstheme="majorHAnsi"/>
          <w:sz w:val="28"/>
          <w:szCs w:val="28"/>
        </w:rPr>
      </w:pPr>
      <w:r w:rsidRPr="00D6056B">
        <w:rPr>
          <w:rFonts w:asciiTheme="majorHAnsi" w:hAnsiTheme="majorHAnsi" w:cstheme="majorHAnsi"/>
          <w:sz w:val="28"/>
          <w:szCs w:val="28"/>
        </w:rPr>
        <w:t>Khi Ủy ban giám sát bảo hiểm xã hội phát hiện có sai phạm liên quan đến thu - chi bảo hiểm xã hội, quản lý và hoạt động đầu tư của quỹ bảo hiểm xã hội thì có quyền đưa ra kiến nghị và có quyền đề xuất hình thức xử phạt theo quy định của pháp luật cho cơ quan có thẩm quyền đối với các hành vi bất hợp pháp của cơ quan bảo hiểm xã hội và nhân viên bảo hiểm xã hội.</w:t>
      </w:r>
    </w:p>
    <w:p w:rsidR="00D6056B" w:rsidRPr="00D6056B" w:rsidRDefault="00D6056B" w:rsidP="00D6056B">
      <w:pPr>
        <w:spacing w:before="120" w:after="0"/>
        <w:ind w:firstLine="720"/>
        <w:jc w:val="both"/>
        <w:rPr>
          <w:rFonts w:asciiTheme="majorHAnsi" w:hAnsiTheme="majorHAnsi" w:cstheme="majorHAnsi"/>
          <w:sz w:val="28"/>
          <w:szCs w:val="28"/>
        </w:rPr>
      </w:pPr>
      <w:r w:rsidRPr="00D6056B">
        <w:rPr>
          <w:rFonts w:asciiTheme="majorHAnsi" w:hAnsiTheme="majorHAnsi" w:cstheme="majorHAnsi"/>
          <w:sz w:val="28"/>
          <w:szCs w:val="28"/>
        </w:rPr>
        <w:t xml:space="preserve">Cơ quan quản lý nhà nước về bảo hiểm xã hội và các cơ quan quản lý khác có liên quan, cơ quan bảo hiểm xã hội, cơ quan thu phí bảo hiểm xã hội và nhân viên bảo hiểm xã hội giữ bí mật dữ liệu của người sử dụng lao động và cá nhân </w:t>
      </w:r>
      <w:r w:rsidRPr="00D6056B">
        <w:rPr>
          <w:rFonts w:asciiTheme="majorHAnsi" w:hAnsiTheme="majorHAnsi" w:cstheme="majorHAnsi"/>
          <w:sz w:val="28"/>
          <w:szCs w:val="28"/>
        </w:rPr>
        <w:lastRenderedPageBreak/>
        <w:t>người lao động theo quy định của pháp luật mà không tiết lộ dữ liệu dưới bất cứ hình thức nào.</w:t>
      </w:r>
    </w:p>
    <w:p w:rsidR="00D6056B" w:rsidRPr="00D6056B" w:rsidRDefault="00D6056B" w:rsidP="00D6056B">
      <w:pPr>
        <w:spacing w:before="120" w:after="0"/>
        <w:ind w:firstLine="720"/>
        <w:jc w:val="both"/>
        <w:rPr>
          <w:rFonts w:asciiTheme="majorHAnsi" w:hAnsiTheme="majorHAnsi" w:cstheme="majorHAnsi"/>
          <w:b/>
          <w:bCs/>
          <w:sz w:val="28"/>
          <w:szCs w:val="28"/>
          <w:lang w:val="vi-VN"/>
        </w:rPr>
      </w:pPr>
      <w:r w:rsidRPr="00D6056B">
        <w:rPr>
          <w:rFonts w:asciiTheme="majorHAnsi" w:hAnsiTheme="majorHAnsi" w:cstheme="majorHAnsi"/>
          <w:b/>
          <w:bCs/>
          <w:sz w:val="28"/>
          <w:szCs w:val="28"/>
          <w:lang w:val="vi-VN"/>
        </w:rPr>
        <w:t>2. Hàn Quốc</w:t>
      </w:r>
    </w:p>
    <w:p w:rsidR="00D6056B" w:rsidRPr="00B520A7" w:rsidRDefault="001473E4" w:rsidP="00D6056B">
      <w:pPr>
        <w:spacing w:before="120" w:after="0"/>
        <w:ind w:firstLine="720"/>
        <w:jc w:val="both"/>
        <w:rPr>
          <w:rFonts w:asciiTheme="majorHAnsi" w:hAnsiTheme="majorHAnsi" w:cstheme="majorHAnsi"/>
          <w:b/>
          <w:bCs/>
          <w:i/>
          <w:sz w:val="28"/>
          <w:szCs w:val="28"/>
          <w:lang w:val="vi-VN"/>
        </w:rPr>
      </w:pPr>
      <w:r>
        <w:rPr>
          <w:rFonts w:asciiTheme="majorHAnsi" w:hAnsiTheme="majorHAnsi" w:cstheme="majorHAnsi"/>
          <w:b/>
          <w:bCs/>
          <w:i/>
          <w:sz w:val="28"/>
          <w:szCs w:val="28"/>
        </w:rPr>
        <w:t>2.1.</w:t>
      </w:r>
      <w:r w:rsidR="00D6056B" w:rsidRPr="00B520A7">
        <w:rPr>
          <w:rFonts w:asciiTheme="majorHAnsi" w:hAnsiTheme="majorHAnsi" w:cstheme="majorHAnsi"/>
          <w:b/>
          <w:bCs/>
          <w:i/>
          <w:sz w:val="28"/>
          <w:szCs w:val="28"/>
          <w:lang w:val="vi-VN"/>
        </w:rPr>
        <w:t xml:space="preserve"> Khiếu nại, tố cáo</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Bất kể một người nào không hài lòng với những vụ việc đã được Cục Hưu trí quốc dân và Cục Bảo hiểm Y tế quốc dân thực hiện về tình trạng bảo hiểm, về thu nhập hàng tháng tiêu chuẩn, về đóng bảo hiểm, và các nội dung khác về số tiền thu và chế độ hưởng do Cục Hưu trí quốc dân hoặc Cục Bảo hiểm Y tế quốc dân quyết định, thì có thể yêu cầu Cục Hưu trí quốc dân hoặc Cục Bảo hiểm y tế quốc dân tiến hành một cuộc kiểm tra về vụ việc nêu trên.</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Đề nghị Kiểm tra có thể lập ở dạng viết (bao gồm các văn bản điện tử trong vòng 90 ngày kể từ ngày mà người đó được biết về vụ việc xử lý đó được thực hiện, và sẽ không được thực hiện sau 180 ngày kể từ ngày vụ việc xử lý đó đã được thực hiện). Tuy nhiên, nếu có bằng chứng chứng minh có các lý do thích đáng khiến việc nộp Đơn Đề nghị kiểm tra không thể thực hiện được trong khoảng thời gian đã nêu, thì người đó có thể gửi một đề nghị mới sau khi thời gian của vòng yêu cầu điều tra thứ nhất kết thúc.</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Ban Kiểm tra Hưu trí quốc dân được thành lập bên trong Cục Hưu trí quốc dân, và Ban Kiểm tra Thu được thành lập bên trong Cục Bảo hiểm Y tế quốc dân để kiểm tra các vấn đề liên quan đến yêu cầu kiểm tra. Các vấn đề cần thiết có liên quan đến tổ chức, hoạt động, xem xét cân nhắc, v.v., của Ban Kiểm tra Hưu trí và Ban Kiểm tra Thu sẽ được quyết định tại Sắc lệnh Tổng thống.</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Bất kể một người nào không hài lòng với quyết định đưa ra sau khi thực hiện kiểm tra căn cứ trên Đơn Đề nghị Kiểm tra thì có thể làm Đơn Đề nghị Phúc tra theo các văn bản đề nghị như quy định tại Sắc lệnh Tổng thống nộp lên Ban Phúc tra Hưu trí quốc gia trong vòng chín mươi (90) ngày sau ngày người đó nhận được quyết định thông báo kết quả xử lý Đơn Đề nghị kiểm tra. Phương thức và thủ tục đối với Đề nghị Phúc tra sẽ được quy định trong Quyết định của Bộ trưởng Bộ Y tế và Phúc lợi.</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Ban Phúc tra Hưu trí quốc gia (sau đây gọi là “Ban Phúc tra”) là đơn vị thuộc Bộ Y tế và Phúc lợi được thành lập để xem xét lại các vấn đề được yêu cầu. Ban Phúc tra gồm tối đa 20 thành viên, bao gồm một Trưởng Ban. Trong trường hợp này, các thành viên mà không phải là công chức sẽ chiếm tỷ trọng trên một nửa tổng số thành viên. Các vấn đề cần thiết có liên quan đến tổ chức, hoạt động, xem xét lạ</w:t>
      </w:r>
      <w:r w:rsidR="004C0095">
        <w:rPr>
          <w:rFonts w:asciiTheme="majorHAnsi" w:hAnsiTheme="majorHAnsi" w:cstheme="majorHAnsi"/>
          <w:sz w:val="28"/>
          <w:szCs w:val="28"/>
          <w:lang w:val="vi-VN"/>
        </w:rPr>
        <w:t>i,...</w:t>
      </w:r>
      <w:r w:rsidRPr="00D6056B">
        <w:rPr>
          <w:rFonts w:asciiTheme="majorHAnsi" w:hAnsiTheme="majorHAnsi" w:cstheme="majorHAnsi"/>
          <w:sz w:val="28"/>
          <w:szCs w:val="28"/>
          <w:lang w:val="vi-VN"/>
        </w:rPr>
        <w:t xml:space="preserve">của Ban Phúc tra sẽ được quyết định tại Sắc lệnh của Tổng Thống. Cuộc phúc tra do Ban Phúc tra tiến hành trên cơ sở Đề nghị Phúc tra sẽ được áp </w:t>
      </w:r>
      <w:r w:rsidRPr="00D6056B">
        <w:rPr>
          <w:rFonts w:asciiTheme="majorHAnsi" w:hAnsiTheme="majorHAnsi" w:cstheme="majorHAnsi"/>
          <w:sz w:val="28"/>
          <w:szCs w:val="28"/>
          <w:lang w:val="vi-VN"/>
        </w:rPr>
        <w:lastRenderedPageBreak/>
        <w:t>dụng “Đạo Luật Tố tụng Hành chính”, một vụ tố tụng hành chính chiểu theo “Đạo Luật Kháng cáo Hành chính”.</w:t>
      </w:r>
    </w:p>
    <w:p w:rsidR="00D6056B" w:rsidRPr="00B520A7" w:rsidRDefault="001473E4" w:rsidP="00D6056B">
      <w:pPr>
        <w:spacing w:before="120" w:after="0"/>
        <w:ind w:firstLine="720"/>
        <w:jc w:val="both"/>
        <w:rPr>
          <w:rFonts w:asciiTheme="majorHAnsi" w:hAnsiTheme="majorHAnsi" w:cstheme="majorHAnsi"/>
          <w:b/>
          <w:i/>
          <w:sz w:val="28"/>
          <w:szCs w:val="28"/>
          <w:lang w:val="vi-VN"/>
        </w:rPr>
      </w:pPr>
      <w:r>
        <w:rPr>
          <w:rFonts w:asciiTheme="majorHAnsi" w:hAnsiTheme="majorHAnsi" w:cstheme="majorHAnsi"/>
          <w:b/>
          <w:i/>
          <w:sz w:val="28"/>
          <w:szCs w:val="28"/>
        </w:rPr>
        <w:t xml:space="preserve">2.2. </w:t>
      </w:r>
      <w:r w:rsidR="00D6056B" w:rsidRPr="00B520A7">
        <w:rPr>
          <w:rFonts w:asciiTheme="majorHAnsi" w:hAnsiTheme="majorHAnsi" w:cstheme="majorHAnsi"/>
          <w:b/>
          <w:i/>
          <w:sz w:val="28"/>
          <w:szCs w:val="28"/>
          <w:lang w:val="vi-VN"/>
        </w:rPr>
        <w:t xml:space="preserve">Hoãn đóng bảo hiểm </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Người tham gia bảo hiểm rơi vào một trong những </w:t>
      </w:r>
      <w:r w:rsidR="004C0095">
        <w:rPr>
          <w:rFonts w:asciiTheme="majorHAnsi" w:hAnsiTheme="majorHAnsi" w:cstheme="majorHAnsi"/>
          <w:sz w:val="28"/>
          <w:szCs w:val="28"/>
        </w:rPr>
        <w:t>m</w:t>
      </w:r>
      <w:r w:rsidRPr="00D6056B">
        <w:rPr>
          <w:rFonts w:asciiTheme="majorHAnsi" w:hAnsiTheme="majorHAnsi" w:cstheme="majorHAnsi"/>
          <w:sz w:val="28"/>
          <w:szCs w:val="28"/>
          <w:lang w:val="vi-VN"/>
        </w:rPr>
        <w:t>ục sau đây có thể đề nghị hoãn đóng (sau đây gọi là “các khoản hoãn đóng”) một số tiền tương ứng với một phần hoặc toàn bộ giai đoạn được quy định trong các Mục sau đây:</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1. Khoảng thời gian mà người tham gia bảo hiểm không đóng sau khi thực hiện đóng lần đầu tiên;</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2. Khoảng thời gian mà một người không thực hiện các khoản đóng vì một số lí do không thể đóng trong một khoảng thời gian theo quy định;</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3. Khoảng thời gian mà một người đạt đủ điều kiện pháp lý để trở thành một người được bảo hiểm sau khi thực hiện nghĩa vụ quân sự theo “Đạo Luật quân sự”. Tuy nhiên, ngoại trừ các trường hợp khi khoảng thời gian thực hiện nghĩa vụ quân sự đó rơi vào một trong các </w:t>
      </w:r>
      <w:r w:rsidR="004C0095">
        <w:rPr>
          <w:rFonts w:asciiTheme="majorHAnsi" w:hAnsiTheme="majorHAnsi" w:cstheme="majorHAnsi"/>
          <w:sz w:val="28"/>
          <w:szCs w:val="28"/>
        </w:rPr>
        <w:t>m</w:t>
      </w:r>
      <w:r w:rsidRPr="00D6056B">
        <w:rPr>
          <w:rFonts w:asciiTheme="majorHAnsi" w:hAnsiTheme="majorHAnsi" w:cstheme="majorHAnsi"/>
          <w:sz w:val="28"/>
          <w:szCs w:val="28"/>
          <w:lang w:val="vi-VN"/>
        </w:rPr>
        <w:t>ục sau đây:</w:t>
      </w:r>
    </w:p>
    <w:p w:rsidR="00D6056B" w:rsidRPr="00D6056B" w:rsidRDefault="005B2580" w:rsidP="00D6056B">
      <w:pPr>
        <w:spacing w:before="120" w:after="0"/>
        <w:ind w:firstLine="720"/>
        <w:jc w:val="both"/>
        <w:rPr>
          <w:rFonts w:asciiTheme="majorHAnsi" w:hAnsiTheme="majorHAnsi" w:cstheme="majorHAnsi"/>
          <w:sz w:val="28"/>
          <w:szCs w:val="28"/>
          <w:lang w:val="vi-VN"/>
        </w:rPr>
      </w:pPr>
      <w:r>
        <w:rPr>
          <w:rFonts w:asciiTheme="majorHAnsi" w:hAnsiTheme="majorHAnsi" w:cstheme="majorHAnsi"/>
          <w:sz w:val="28"/>
          <w:szCs w:val="28"/>
        </w:rPr>
        <w:t>(</w:t>
      </w:r>
      <w:r w:rsidR="00B520A7">
        <w:rPr>
          <w:rFonts w:asciiTheme="majorHAnsi" w:hAnsiTheme="majorHAnsi" w:cstheme="majorHAnsi"/>
          <w:sz w:val="28"/>
          <w:szCs w:val="28"/>
          <w:lang w:val="vi-VN"/>
        </w:rPr>
        <w:t>a</w:t>
      </w:r>
      <w:r w:rsidR="00B520A7">
        <w:rPr>
          <w:rFonts w:asciiTheme="majorHAnsi" w:hAnsiTheme="majorHAnsi" w:cstheme="majorHAnsi"/>
          <w:sz w:val="28"/>
          <w:szCs w:val="28"/>
        </w:rPr>
        <w:t>)</w:t>
      </w:r>
      <w:r w:rsidR="00D6056B" w:rsidRPr="00D6056B">
        <w:rPr>
          <w:rFonts w:asciiTheme="majorHAnsi" w:hAnsiTheme="majorHAnsi" w:cstheme="majorHAnsi"/>
          <w:sz w:val="28"/>
          <w:szCs w:val="28"/>
          <w:lang w:val="vi-VN"/>
        </w:rPr>
        <w:t xml:space="preserve"> Khoảng thời gian được tính là khoảng thời gian làm việc chiểu theo “Đạo Luật Hưu trí công chức”, “Đạo Luật Hưu trí dành cho Giáo viên và Cán bộ Trường Tư thực”, “Đạo Luật Bưu điện đặc biệt”;</w:t>
      </w:r>
    </w:p>
    <w:p w:rsidR="00D6056B" w:rsidRPr="00D6056B" w:rsidRDefault="005B2580" w:rsidP="00D6056B">
      <w:pPr>
        <w:spacing w:before="120" w:after="0"/>
        <w:ind w:firstLine="720"/>
        <w:jc w:val="both"/>
        <w:rPr>
          <w:rFonts w:asciiTheme="majorHAnsi" w:hAnsiTheme="majorHAnsi" w:cstheme="majorHAnsi"/>
          <w:sz w:val="28"/>
          <w:szCs w:val="28"/>
          <w:lang w:val="vi-VN"/>
        </w:rPr>
      </w:pPr>
      <w:r>
        <w:rPr>
          <w:rFonts w:asciiTheme="majorHAnsi" w:hAnsiTheme="majorHAnsi" w:cstheme="majorHAnsi"/>
          <w:sz w:val="28"/>
          <w:szCs w:val="28"/>
        </w:rPr>
        <w:t>(</w:t>
      </w:r>
      <w:r w:rsidR="00D6056B" w:rsidRPr="00D6056B">
        <w:rPr>
          <w:rFonts w:asciiTheme="majorHAnsi" w:hAnsiTheme="majorHAnsi" w:cstheme="majorHAnsi"/>
          <w:sz w:val="28"/>
          <w:szCs w:val="28"/>
          <w:lang w:val="vi-VN"/>
        </w:rPr>
        <w:t>b</w:t>
      </w:r>
      <w:r w:rsidR="00B520A7">
        <w:rPr>
          <w:rFonts w:asciiTheme="majorHAnsi" w:hAnsiTheme="majorHAnsi" w:cstheme="majorHAnsi"/>
          <w:sz w:val="28"/>
          <w:szCs w:val="28"/>
        </w:rPr>
        <w:t>)</w:t>
      </w:r>
      <w:r w:rsidR="00D6056B" w:rsidRPr="00D6056B">
        <w:rPr>
          <w:rFonts w:asciiTheme="majorHAnsi" w:hAnsiTheme="majorHAnsi" w:cstheme="majorHAnsi"/>
          <w:sz w:val="28"/>
          <w:szCs w:val="28"/>
          <w:lang w:val="vi-VN"/>
        </w:rPr>
        <w:t xml:space="preserve"> Khoảng thời gian được tính như thời gian nghĩa vụ quân sự chiểu theo “Đạo Luật Hưu trí cho Cựu Chiến binh; hoặc</w:t>
      </w:r>
    </w:p>
    <w:p w:rsidR="00D6056B" w:rsidRPr="00D6056B" w:rsidRDefault="005B2580" w:rsidP="00D6056B">
      <w:pPr>
        <w:spacing w:before="120" w:after="0"/>
        <w:ind w:firstLine="720"/>
        <w:jc w:val="both"/>
        <w:rPr>
          <w:rFonts w:asciiTheme="majorHAnsi" w:hAnsiTheme="majorHAnsi" w:cstheme="majorHAnsi"/>
          <w:sz w:val="28"/>
          <w:szCs w:val="28"/>
          <w:lang w:val="vi-VN"/>
        </w:rPr>
      </w:pPr>
      <w:r>
        <w:rPr>
          <w:rFonts w:asciiTheme="majorHAnsi" w:hAnsiTheme="majorHAnsi" w:cstheme="majorHAnsi"/>
          <w:sz w:val="28"/>
          <w:szCs w:val="28"/>
        </w:rPr>
        <w:t>(</w:t>
      </w:r>
      <w:r w:rsidR="00D6056B" w:rsidRPr="00D6056B">
        <w:rPr>
          <w:rFonts w:asciiTheme="majorHAnsi" w:hAnsiTheme="majorHAnsi" w:cstheme="majorHAnsi"/>
          <w:sz w:val="28"/>
          <w:szCs w:val="28"/>
          <w:lang w:val="vi-VN"/>
        </w:rPr>
        <w:t>c</w:t>
      </w:r>
      <w:r w:rsidR="00B520A7">
        <w:rPr>
          <w:rFonts w:asciiTheme="majorHAnsi" w:hAnsiTheme="majorHAnsi" w:cstheme="majorHAnsi"/>
          <w:sz w:val="28"/>
          <w:szCs w:val="28"/>
        </w:rPr>
        <w:t>)</w:t>
      </w:r>
      <w:r w:rsidR="00D6056B" w:rsidRPr="00D6056B">
        <w:rPr>
          <w:rFonts w:asciiTheme="majorHAnsi" w:hAnsiTheme="majorHAnsi" w:cstheme="majorHAnsi"/>
          <w:sz w:val="28"/>
          <w:szCs w:val="28"/>
          <w:lang w:val="vi-VN"/>
        </w:rPr>
        <w:t xml:space="preserve"> Khoảng thời gian trong quân ngũ trước ngày 01 tháng 01 năm 1988.</w:t>
      </w:r>
    </w:p>
    <w:p w:rsidR="003E711E"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Khi một người hưởng </w:t>
      </w:r>
      <w:r w:rsidR="004C0095">
        <w:rPr>
          <w:rFonts w:asciiTheme="majorHAnsi" w:hAnsiTheme="majorHAnsi" w:cstheme="majorHAnsi"/>
          <w:sz w:val="28"/>
          <w:szCs w:val="28"/>
        </w:rPr>
        <w:t>h</w:t>
      </w:r>
      <w:r w:rsidRPr="00D6056B">
        <w:rPr>
          <w:rFonts w:asciiTheme="majorHAnsi" w:hAnsiTheme="majorHAnsi" w:cstheme="majorHAnsi"/>
          <w:sz w:val="28"/>
          <w:szCs w:val="28"/>
          <w:lang w:val="vi-VN"/>
        </w:rPr>
        <w:t xml:space="preserve">ưu trí một lần, khoảng thời gian đó được mặc nhiên coi là khoảng thời gian người đó không tham gia bảo hiểm; trừ phi người đó hoàn trả khoản hưởng 1 lần đó. </w:t>
      </w:r>
    </w:p>
    <w:p w:rsidR="00D6056B" w:rsidRPr="00D6056B" w:rsidRDefault="00D6056B" w:rsidP="00D6056B">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Một khoản hoãn đóng được tính bằng tích số của số tháng trong thời gian hoãn đóng với số tiền đóng mỗi tháng bao gồm ngày nộp đề nghị hoãn đóng. Nếu một người tham gia bảo hiểm theo diện tự nguyện có đề xuất hoãn đóng, thì số tiền đóng tối đa tính cho khoản hoãn đóng được quy định bởi Sắc lệnh của Tổng thống. Khoản hoãn đóng có thể được thanh toán thành nhiều lần. Trong trường hợp này, khoản đóng sẽ được tính thêm lãi suất theo quy định tại Sắc lệnh Tổng thống. </w:t>
      </w:r>
    </w:p>
    <w:p w:rsidR="00D6056B" w:rsidRPr="00D6056B" w:rsidRDefault="00D6056B" w:rsidP="005B2580">
      <w:pPr>
        <w:spacing w:before="120" w:after="0"/>
        <w:ind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Trong trường hợp một người tham gia bảo hiểm đã đóng đủ số tiền hoãn đóng trước đó thì thời gian tương ứng với số tiền đã thanh toán sẽ được cộng vào thời gian tham gia bảo hiểm của người đó. Trong trường hợp này, số tiền bảo hiểm cơ bản dùng làm cơ sở để tính thời gian bao phủ sẽ được tính theo tháng bao gồm cả ngày thực hiện đóng các khoản hoãn đóng. </w:t>
      </w:r>
    </w:p>
    <w:p w:rsidR="00D6056B" w:rsidRPr="00B520A7" w:rsidRDefault="001473E4" w:rsidP="00D6056B">
      <w:pPr>
        <w:spacing w:before="120" w:after="0"/>
        <w:ind w:firstLine="720"/>
        <w:jc w:val="both"/>
        <w:rPr>
          <w:rFonts w:asciiTheme="majorHAnsi" w:hAnsiTheme="majorHAnsi" w:cstheme="majorHAnsi"/>
          <w:b/>
          <w:i/>
          <w:sz w:val="28"/>
          <w:szCs w:val="28"/>
          <w:lang w:val="vi-VN"/>
        </w:rPr>
      </w:pPr>
      <w:r>
        <w:rPr>
          <w:rFonts w:asciiTheme="majorHAnsi" w:hAnsiTheme="majorHAnsi" w:cstheme="majorHAnsi"/>
          <w:b/>
          <w:i/>
          <w:sz w:val="28"/>
          <w:szCs w:val="28"/>
        </w:rPr>
        <w:lastRenderedPageBreak/>
        <w:t>2.3.</w:t>
      </w:r>
      <w:r w:rsidR="00D6056B" w:rsidRPr="00B520A7">
        <w:rPr>
          <w:rFonts w:asciiTheme="majorHAnsi" w:hAnsiTheme="majorHAnsi" w:cstheme="majorHAnsi"/>
          <w:b/>
          <w:i/>
          <w:sz w:val="28"/>
          <w:szCs w:val="28"/>
          <w:lang w:val="vi-VN"/>
        </w:rPr>
        <w:t xml:space="preserve"> Hành vi </w:t>
      </w:r>
      <w:r w:rsidR="00D6056B" w:rsidRPr="00B520A7">
        <w:rPr>
          <w:rFonts w:asciiTheme="majorHAnsi" w:hAnsiTheme="majorHAnsi" w:cstheme="majorHAnsi"/>
          <w:b/>
          <w:i/>
          <w:sz w:val="28"/>
          <w:szCs w:val="28"/>
        </w:rPr>
        <w:t>trốn</w:t>
      </w:r>
      <w:r w:rsidR="00D6056B" w:rsidRPr="00B520A7">
        <w:rPr>
          <w:rFonts w:asciiTheme="majorHAnsi" w:hAnsiTheme="majorHAnsi" w:cstheme="majorHAnsi"/>
          <w:b/>
          <w:i/>
          <w:sz w:val="28"/>
          <w:szCs w:val="28"/>
          <w:lang w:val="vi-VN"/>
        </w:rPr>
        <w:t xml:space="preserve"> đóng bảo hiểm</w:t>
      </w:r>
    </w:p>
    <w:p w:rsidR="00D6056B" w:rsidRPr="00D6056B" w:rsidRDefault="00D6056B" w:rsidP="00D6056B">
      <w:pPr>
        <w:shd w:val="clear" w:color="auto" w:fill="FFFFFF"/>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t xml:space="preserve">Khi một đối tượng tham gia bảo hiểm theo diện bảo hiểm theo nơi làm việc hoặc tham gia bảo hiểm theo diện cá nhân không thực hiện nghĩa vụ đóng bảo hiểm hoặc các khoản phải đóng khác trong một khoảng thời gian giới hạn (đã tính cả thời gian gia hạn theo quy định), thì Cục Bảo hiểm Y tế quốc dân sẽ ra một ngày hạn đóng và yêu cầu đóng. Khi Cục Bảo hiểm Y tế quốc dân đã ra yêu cầu đóng, Cục này sẽ phát hành một khoảng thời gian giới hạn đóng trong vòng từ 10 ngày trở lên. Bản yêu cầu đóng được gửi đến cho một người trong số những người đồng thời chịu trách nhiệm đóng, sẽ được áp dụng cho tất cả mọi người còn lại đồng thời chịu trách nhiệm đóng. </w:t>
      </w:r>
    </w:p>
    <w:p w:rsidR="00D6056B" w:rsidRPr="00D6056B" w:rsidRDefault="00D6056B" w:rsidP="00D6056B">
      <w:pPr>
        <w:shd w:val="clear" w:color="auto" w:fill="FFFFFF"/>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t>Khi một người đã nhận được giấy yêu cầu đóng mà không thực hiện đóng phí bảo hiểm, v.v. trước ngày hết hạn, thì Cục Bảo hiểm y tế có thể thu khoản phí đóng đó theo như trường hợp truy thu nợ đóng thuế, sau khi được Bộ trưởng Bộ Y tế và Phúc lợi phê duyệt. Trong trường hợp đó, nếu số tiền phải thu không đủ để trả cho khoản nợ đóng bảo hiểm, vv.v., và các khoản phí xử lý nợ, thì số tiền phải đóng sẽ bằng số tiền nợ đóng bảo hiểm cộng với số tiền phí xử lý thu nợ.</w:t>
      </w:r>
    </w:p>
    <w:p w:rsidR="00D6056B" w:rsidRPr="00D6056B" w:rsidRDefault="00D6056B" w:rsidP="00D6056B">
      <w:pPr>
        <w:shd w:val="clear" w:color="auto" w:fill="FFFFFF"/>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t xml:space="preserve">Trước khi thực hiện thu phí xử lý </w:t>
      </w:r>
      <w:r>
        <w:rPr>
          <w:rFonts w:asciiTheme="majorHAnsi" w:eastAsia="Times New Roman" w:hAnsiTheme="majorHAnsi" w:cstheme="majorHAnsi"/>
          <w:sz w:val="28"/>
          <w:szCs w:val="28"/>
          <w:lang w:eastAsia="vi-VN"/>
        </w:rPr>
        <w:t>trốn</w:t>
      </w:r>
      <w:r w:rsidRPr="00D6056B">
        <w:rPr>
          <w:rFonts w:asciiTheme="majorHAnsi" w:eastAsia="Times New Roman" w:hAnsiTheme="majorHAnsi" w:cstheme="majorHAnsi"/>
          <w:sz w:val="28"/>
          <w:szCs w:val="28"/>
          <w:lang w:val="vi-VN" w:eastAsia="vi-VN"/>
        </w:rPr>
        <w:t xml:space="preserve"> đóng theo quy định, Cục Bảo hiểm y tế sẽ gửi một bản thông báo trong đó nêu rõ số tiền đóng bảo hiểm và số tiền phí xử lý nợ, các loại tài sản kèm theo, tiến trình thu giữ theo kế hoạch và phân loại các tài sản tài chính nhỏ theo quy định về các loại tài sản kèm theo nêu tại Đạo Luật Thu thuế quốc gia. Tuy nhiên, điều khoản này sẽ không áp dụng cho nhu cầu thu phí nợ đóng thực hiện vì các lý do đột xuất, như giải thể doanh nghiệp hoặc tương tự.</w:t>
      </w:r>
    </w:p>
    <w:p w:rsidR="00D6056B" w:rsidRPr="00D6056B" w:rsidRDefault="00D6056B" w:rsidP="00D6056B">
      <w:pPr>
        <w:shd w:val="clear" w:color="auto" w:fill="FFFFFF"/>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t xml:space="preserve">Khi được mặc nhiên cho là không phù hợp khi Cục Bảo hiểm Y tế quốc dân thực hiện chuyển nhượng một tài sản được thu giữ theo như thông lệ về xử lý nợ đóng thuê quốc gia do thiếu kiến thức chuyên môn về chuyển nhượng tài sản đó hoặc vì các trường hợp đặc biệt khác, thì Cục Bảo hiểm Y tế quốc dân có thể đề xuất Tập đoàn Quản lý Tài sản Hàn Quốc, một đơn vị được thành lập dựa trên “Đạo Luật về Chuyển nhượng hiệu quả các tài sản không tạo ra lợi tức, v.v., của các đơn vị tài chính và Thành lập Tập </w:t>
      </w:r>
      <w:r w:rsidR="00B520A7">
        <w:rPr>
          <w:rFonts w:asciiTheme="majorHAnsi" w:eastAsia="Times New Roman" w:hAnsiTheme="majorHAnsi" w:cstheme="majorHAnsi"/>
          <w:sz w:val="28"/>
          <w:szCs w:val="28"/>
          <w:lang w:val="vi-VN" w:eastAsia="vi-VN"/>
        </w:rPr>
        <w:t xml:space="preserve">đoàn Quản lý Tài sản Hàn Quốc”, </w:t>
      </w:r>
      <w:r w:rsidRPr="00D6056B">
        <w:rPr>
          <w:rFonts w:asciiTheme="majorHAnsi" w:eastAsia="Times New Roman" w:hAnsiTheme="majorHAnsi" w:cstheme="majorHAnsi"/>
          <w:sz w:val="28"/>
          <w:szCs w:val="28"/>
          <w:lang w:val="vi-VN" w:eastAsia="vi-VN"/>
        </w:rPr>
        <w:t>sau đây gọi tắt là “KAMCO”, như quy định tại Sắc lệnh Tổng thống. Trong trường hợp này, việc chuyển nhượng sẽ do KAMCO thực hiện các nhiệm vụ mà trước đây đã từng cho là thuộc phạm vi thẩm quyền của Cục Bảo hiểm Y tế quốc dân thực hiện. Khi KAMCO thay mặt Cục Bảo hiểm Y tế quốc dân thực hiện chuyển nhượng, Cục Bảo hiểm Y tế quốc dân có thể trả một khoản phí dịch vụ, như quy định tại Quyết định của Bộ trưởng Bộ Y tế và Phúc lợi.</w:t>
      </w:r>
    </w:p>
    <w:p w:rsidR="00D6056B" w:rsidRPr="00D6056B" w:rsidRDefault="00D6056B" w:rsidP="00D6056B">
      <w:pPr>
        <w:shd w:val="clear" w:color="auto" w:fill="FFFFFF"/>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lastRenderedPageBreak/>
        <w:t>Nếu toàn bộ tài sản của người chịu trách nhiệm pháp lý không đủ để trang trải cho các khoản đóng bảo hiểm, các khoản phí bổ sung và các loại phí xử lý nợ phải trả, thì một đối tác chung hoặc các bên đại diện độc quyền (là đối tượng được quy định tại bất kỳ một tiêt nào trong Hành động Khung về các khoản thuế quốc gia) của người chịu trách nhiệm pháp lý, kể từ ngày chịu các khoản thu đóng, sẽ phải chịu trách nhiệm pháp lý thứ cấp đóng phần còn thiếu. Theo quy định như vậy, trong trường hợp chỉ có một bên đại diện độc quyền, thì phần đóng còn thiếu sẽ được hạn chế trong số tiền tính bằng cách nhân số tiền thu được từ thương số của số tiền còn đóng thiếu chi cho tổng số cổ phiếu (không kể các cổ phiếu không có quyền biểu quyết) hoặc các khoản đầu của người có thẩm quyền pháp lý hữu quan nhân với số cổ phiếu hiệu lực mà bên đại diện độc quyền thực sự nắm quyền (không kể các cổ phiếu không có quyền biểu quyết) hoặc số các khoản đầu từ của bên đại diện độc quyền đó.</w:t>
      </w:r>
    </w:p>
    <w:p w:rsidR="00D6056B" w:rsidRPr="00D6056B" w:rsidRDefault="00D6056B" w:rsidP="00D6056B">
      <w:pPr>
        <w:shd w:val="clear" w:color="auto" w:fill="FFFFFF"/>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t>Khi một doanh nghiệp bị mua lại hoặc chuyển nhượng, nếu số tài sản của người thực hiện chuyển nhượng không đủ để chi trả cho các khoản đóng bảo hiểm, lệ phí bổ sung và phí xử lý nợ cho doanh nghiệp mà doanh nghiệp đó có trách nhiệm phải quyết toán thuế lần cuối trước khi chuyển nhượng doanh nghiệp, thì người nhận chuyển nhượng sẽ là bên có trách nhiệm pháp lý phải thực hiện các khoản thiếu đóng, trong phạm vi giá trị của tài sản được chuyển nhượng. Trong trường hợp này, phạm vi của bên chuyển nhượng và giá trị của tài sản được chuyển nhượng sẽ được quy định tại Sắc lệnh Tổng thống.</w:t>
      </w:r>
    </w:p>
    <w:p w:rsidR="00D6056B" w:rsidRPr="00D6056B" w:rsidRDefault="00D6056B" w:rsidP="004C0095">
      <w:pPr>
        <w:shd w:val="clear" w:color="auto" w:fill="FFFFFF"/>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t>Cục Bảo hiểm Y tế quốc dân có thể phê duyệt đóng bảo hiểm theo diện trả góp trong trường hợp một người đã bị xử lý vắng mặt về đóng bảo hiểm không quá hai lần, như đã quy định trong Quyết định của Bộ Trưởng Bộ Y tế và Phúc lợi.</w:t>
      </w:r>
      <w:r w:rsidR="004C0095">
        <w:rPr>
          <w:rFonts w:asciiTheme="majorHAnsi" w:eastAsia="Times New Roman" w:hAnsiTheme="majorHAnsi" w:cstheme="majorHAnsi"/>
          <w:sz w:val="28"/>
          <w:szCs w:val="28"/>
          <w:lang w:eastAsia="vi-VN"/>
        </w:rPr>
        <w:t xml:space="preserve"> </w:t>
      </w:r>
      <w:r w:rsidRPr="00D6056B">
        <w:rPr>
          <w:rFonts w:asciiTheme="majorHAnsi" w:eastAsia="Times New Roman" w:hAnsiTheme="majorHAnsi" w:cstheme="majorHAnsi"/>
          <w:sz w:val="28"/>
          <w:szCs w:val="28"/>
          <w:lang w:val="vi-VN" w:eastAsia="vi-VN"/>
        </w:rPr>
        <w:t>Trước khi tiến hành chuyển nhượng phí xử lý nợ đóng, Cục Bảo hiểm Y tế quốc dân sẽ thông báo cho đối tượng tham gia bảo hiểm theo diện cá nhân, người đã không thực hiện đóng phí bảo hiểm ít nhất là 2 lần, như đã xác định rằng người đó có thể áp dụng phương thức đóng bảo hiểm trả góp chiểu và thông báo về thủ tục và cách thức đăng ký đóng bảo hiểm theo phương thức trả góp như quy định tại Quyết định của Bộ Y tế và Phúc lợi.</w:t>
      </w:r>
    </w:p>
    <w:p w:rsidR="00D6056B" w:rsidRPr="00D6056B" w:rsidRDefault="00D6056B" w:rsidP="00D6056B">
      <w:pPr>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t>Nếu một người đã được phê duyệt đóng bảo hiểm theo phương thức trả góp trong nhiều lần mà không đóng các khoản đã được phê duyệt ít nhất 2 lần mà không có lý do thích đáng, thì KAMCO sẽ thu hồi lại phê duyệt đóng bảo hiểm theo phương thức trả góp đối với người đó. Các vấn đề cần thiết liên quan đến quy trình, thủ tục và các tiêu chuẩn, v.v. trong việc phê duyệt và thu hồi phê duyệt cho đóng bảo hiểm theo phương thức trả góp sẽ được quy định trong Quyết định của Bộ Y tế và Phúc lợi.</w:t>
      </w:r>
    </w:p>
    <w:p w:rsidR="00D6056B" w:rsidRPr="00D6056B" w:rsidRDefault="00D6056B" w:rsidP="00D6056B">
      <w:pPr>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lastRenderedPageBreak/>
        <w:t xml:space="preserve">Nếu một người có trách nhiệm đóng mà không đóng đúng hạn (đã tính cả thời gian gia hạn theo quy định), thì Cục Bảo hiểm Y tế quốc dân, ngoài khoản phí xử lý nợ đóng, sẽ thu thêm khoản phí truy thu tương đương 1/1.000 của khoản phải đóng theo quy định vào cuối mỗi tháng kể từ ngày quá hạn khoản phải đóng. Trong các trường hợp này, phí truy thu sẽ không vượt quá 30/1,000 khoản phí bảo hiểm, </w:t>
      </w:r>
      <w:r w:rsidR="004C0095">
        <w:rPr>
          <w:rFonts w:asciiTheme="majorHAnsi" w:eastAsia="Times New Roman" w:hAnsiTheme="majorHAnsi" w:cstheme="majorHAnsi"/>
          <w:sz w:val="28"/>
          <w:szCs w:val="28"/>
          <w:lang w:eastAsia="vi-VN"/>
        </w:rPr>
        <w:t>…</w:t>
      </w:r>
      <w:r w:rsidRPr="00D6056B">
        <w:rPr>
          <w:rFonts w:asciiTheme="majorHAnsi" w:eastAsia="Times New Roman" w:hAnsiTheme="majorHAnsi" w:cstheme="majorHAnsi"/>
          <w:sz w:val="28"/>
          <w:szCs w:val="28"/>
          <w:lang w:val="vi-VN" w:eastAsia="vi-VN"/>
        </w:rPr>
        <w:t>và các phí khác, nợ đóng.</w:t>
      </w:r>
    </w:p>
    <w:p w:rsidR="00D6056B" w:rsidRPr="00D6056B" w:rsidRDefault="00D6056B" w:rsidP="00D6056B">
      <w:pPr>
        <w:spacing w:before="120" w:after="0"/>
        <w:ind w:firstLine="720"/>
        <w:jc w:val="both"/>
        <w:rPr>
          <w:rFonts w:asciiTheme="majorHAnsi" w:eastAsia="Times New Roman" w:hAnsiTheme="majorHAnsi" w:cstheme="majorHAnsi"/>
          <w:sz w:val="28"/>
          <w:szCs w:val="28"/>
          <w:lang w:val="vi-VN" w:eastAsia="vi-VN"/>
        </w:rPr>
      </w:pPr>
      <w:r w:rsidRPr="00D6056B">
        <w:rPr>
          <w:rFonts w:asciiTheme="majorHAnsi" w:eastAsia="Times New Roman" w:hAnsiTheme="majorHAnsi" w:cstheme="majorHAnsi"/>
          <w:sz w:val="28"/>
          <w:szCs w:val="28"/>
          <w:lang w:val="vi-VN" w:eastAsia="vi-VN"/>
        </w:rPr>
        <w:t>Nếu một người có trách nhiệm đóng mà không đóng các khoản nợ đóng đúng hạn, Cục Bảo hiểm Y tế quốc dân sẽ thu thêm phí tương đương 1/3,000 khoản bảo hiểm nợ đóng cộng với phí truy thu như đã nêu trong Khoản 1 đối với thời gian đủ một tháng tính từ ngày liền sau ngày cuối cùng của thời hạn đóng. Trong trường hợp này, tổng phí truy thu và phí thu thêm sẽ không quá 90/1,000 số tiền nợ đóng bảo hiểm.</w:t>
      </w:r>
    </w:p>
    <w:p w:rsidR="00D6056B" w:rsidRPr="00D6056B" w:rsidRDefault="00D6056B" w:rsidP="00D6056B">
      <w:pPr>
        <w:spacing w:before="120" w:after="0"/>
        <w:ind w:firstLine="720"/>
        <w:jc w:val="both"/>
        <w:rPr>
          <w:rFonts w:asciiTheme="majorHAnsi" w:hAnsiTheme="majorHAnsi" w:cstheme="majorHAnsi"/>
          <w:bCs/>
          <w:sz w:val="28"/>
          <w:szCs w:val="28"/>
          <w:lang w:val="vi-VN"/>
        </w:rPr>
      </w:pPr>
      <w:r w:rsidRPr="00D6056B">
        <w:rPr>
          <w:rFonts w:asciiTheme="majorHAnsi" w:hAnsiTheme="majorHAnsi" w:cstheme="majorHAnsi"/>
          <w:bCs/>
          <w:sz w:val="28"/>
          <w:szCs w:val="28"/>
          <w:lang w:val="vi-VN"/>
        </w:rPr>
        <w:t>Nếu vì một lý do cụ đặc thù khiến không thể thực hiện việc đóng, như thiên tai hoặc các tương tự, Cục Bảo hiểm Y tế có thể không thu phí truy thu nợ đóng.</w:t>
      </w:r>
    </w:p>
    <w:p w:rsidR="00D6056B" w:rsidRPr="00D6056B" w:rsidRDefault="00D6056B" w:rsidP="00D6056B">
      <w:pPr>
        <w:spacing w:before="120" w:after="0"/>
        <w:ind w:right="109" w:firstLine="720"/>
        <w:jc w:val="both"/>
        <w:rPr>
          <w:rFonts w:asciiTheme="majorHAnsi" w:hAnsiTheme="majorHAnsi" w:cstheme="majorHAnsi"/>
          <w:sz w:val="28"/>
          <w:szCs w:val="28"/>
          <w:lang w:val="vi-VN"/>
        </w:rPr>
      </w:pPr>
      <w:r w:rsidRPr="00D6056B">
        <w:rPr>
          <w:rFonts w:asciiTheme="majorHAnsi" w:hAnsiTheme="majorHAnsi" w:cstheme="majorHAnsi"/>
          <w:spacing w:val="-2"/>
          <w:sz w:val="28"/>
          <w:szCs w:val="28"/>
          <w:lang w:val="vi-VN"/>
        </w:rPr>
        <w:t xml:space="preserve">Cục Bảo hiểm Y tế quốc dân có thể công bố thông tin cá nhân như số tiền nợ đóng và tương tự </w:t>
      </w:r>
      <w:r w:rsidRPr="00D6056B">
        <w:rPr>
          <w:rFonts w:asciiTheme="majorHAnsi" w:hAnsiTheme="majorHAnsi" w:cstheme="majorHAnsi"/>
          <w:sz w:val="28"/>
          <w:szCs w:val="28"/>
          <w:lang w:val="vi-VN"/>
        </w:rPr>
        <w:t>của một người trốn/nợ đóng</w:t>
      </w:r>
      <w:r w:rsidRPr="00D6056B">
        <w:rPr>
          <w:rFonts w:asciiTheme="majorHAnsi" w:hAnsiTheme="majorHAnsi" w:cstheme="majorHAnsi"/>
          <w:spacing w:val="-3"/>
          <w:sz w:val="28"/>
          <w:szCs w:val="28"/>
          <w:lang w:val="vi-VN"/>
        </w:rPr>
        <w:t xml:space="preserve"> (chỉ áp dụng với người tham gia bảo hiểm theo diện bảo hiểm tại nơi làm việc</w:t>
      </w:r>
      <w:r w:rsidRPr="00D6056B">
        <w:rPr>
          <w:rFonts w:asciiTheme="majorHAnsi" w:hAnsiTheme="majorHAnsi" w:cstheme="majorHAnsi"/>
          <w:spacing w:val="-4"/>
          <w:sz w:val="28"/>
          <w:szCs w:val="28"/>
          <w:lang w:val="vi-VN"/>
        </w:rPr>
        <w:t xml:space="preserve">) </w:t>
      </w:r>
      <w:r w:rsidRPr="00D6056B">
        <w:rPr>
          <w:rFonts w:asciiTheme="majorHAnsi" w:hAnsiTheme="majorHAnsi" w:cstheme="majorHAnsi"/>
          <w:spacing w:val="-3"/>
          <w:sz w:val="28"/>
          <w:szCs w:val="28"/>
          <w:lang w:val="vi-VN"/>
        </w:rPr>
        <w:t>(sau đây gọ</w:t>
      </w:r>
      <w:r w:rsidR="00A305C3">
        <w:rPr>
          <w:rFonts w:asciiTheme="majorHAnsi" w:hAnsiTheme="majorHAnsi" w:cstheme="majorHAnsi"/>
          <w:spacing w:val="-3"/>
          <w:sz w:val="28"/>
          <w:szCs w:val="28"/>
          <w:lang w:val="vi-VN"/>
        </w:rPr>
        <w:t>i là “thông tin cá nhân,...</w:t>
      </w:r>
      <w:r w:rsidRPr="00D6056B">
        <w:rPr>
          <w:rFonts w:asciiTheme="majorHAnsi" w:hAnsiTheme="majorHAnsi" w:cstheme="majorHAnsi"/>
          <w:spacing w:val="-3"/>
          <w:sz w:val="28"/>
          <w:szCs w:val="28"/>
          <w:lang w:val="vi-VN"/>
        </w:rPr>
        <w:t xml:space="preserve">”) nếu người trốn/nợ đóng có khoản trốn/nợ đóng bảo hiểm, phí xử lý nợ đóng, phí truy thu có tổng từ 50 triệu won trở lên quá hạn từ 2 năm trở lên kể từ ngày thời hạn đóng chiểu theo Đạo Luật này (sau đây gọi là </w:t>
      </w:r>
      <w:r w:rsidRPr="00D6056B">
        <w:rPr>
          <w:rFonts w:asciiTheme="majorHAnsi" w:hAnsiTheme="majorHAnsi" w:cstheme="majorHAnsi"/>
          <w:spacing w:val="-4"/>
          <w:sz w:val="28"/>
          <w:szCs w:val="28"/>
          <w:lang w:val="vi-VN"/>
        </w:rPr>
        <w:t>“khoản đóng bảo hiểm”) và đã có hành vi vi phạm đóng mặc dù có khả năng đóng</w:t>
      </w:r>
      <w:r w:rsidRPr="00D6056B">
        <w:rPr>
          <w:rFonts w:asciiTheme="majorHAnsi" w:hAnsiTheme="majorHAnsi" w:cstheme="majorHAnsi"/>
          <w:spacing w:val="-3"/>
          <w:sz w:val="28"/>
          <w:szCs w:val="28"/>
          <w:lang w:val="vi-VN"/>
        </w:rPr>
        <w:t xml:space="preserve">. </w:t>
      </w:r>
      <w:r w:rsidRPr="00D6056B">
        <w:rPr>
          <w:rFonts w:asciiTheme="majorHAnsi" w:hAnsiTheme="majorHAnsi" w:cstheme="majorHAnsi"/>
          <w:spacing w:val="-3"/>
          <w:sz w:val="28"/>
          <w:szCs w:val="28"/>
        </w:rPr>
        <w:t>Tuy nhiên, những quy định này không áp dụng nếu đối tượng đang trong thời gian kháng cáo hoặc kiện tụng tạ</w:t>
      </w:r>
      <w:r w:rsidR="00A305C3">
        <w:rPr>
          <w:rFonts w:asciiTheme="majorHAnsi" w:hAnsiTheme="majorHAnsi" w:cstheme="majorHAnsi"/>
          <w:spacing w:val="-3"/>
          <w:sz w:val="28"/>
          <w:szCs w:val="28"/>
        </w:rPr>
        <w:t>i tòa hành chính,.</w:t>
      </w:r>
      <w:r w:rsidRPr="00D6056B">
        <w:rPr>
          <w:rFonts w:asciiTheme="majorHAnsi" w:hAnsiTheme="majorHAnsi" w:cstheme="majorHAnsi"/>
          <w:spacing w:val="-3"/>
          <w:sz w:val="28"/>
          <w:szCs w:val="28"/>
        </w:rPr>
        <w:t>., hoặc bất kỳ lí do nào khác, như quy định tại Sắc lệnh của Tổng thống, chẳng hạn như trả một phần phí truy thu.</w:t>
      </w:r>
    </w:p>
    <w:p w:rsidR="00D6056B" w:rsidRPr="00D6056B" w:rsidRDefault="00D6056B" w:rsidP="00D6056B">
      <w:pPr>
        <w:tabs>
          <w:tab w:val="left" w:pos="413"/>
        </w:tabs>
        <w:spacing w:before="120" w:after="0"/>
        <w:ind w:right="109" w:firstLine="720"/>
        <w:jc w:val="both"/>
        <w:rPr>
          <w:rFonts w:asciiTheme="majorHAnsi" w:hAnsiTheme="majorHAnsi" w:cstheme="majorHAnsi"/>
          <w:spacing w:val="-3"/>
          <w:sz w:val="28"/>
          <w:szCs w:val="28"/>
          <w:lang w:val="vi-VN"/>
        </w:rPr>
      </w:pPr>
      <w:r w:rsidRPr="00D6056B">
        <w:rPr>
          <w:rFonts w:asciiTheme="majorHAnsi" w:hAnsiTheme="majorHAnsi" w:cstheme="majorHAnsi"/>
          <w:sz w:val="28"/>
          <w:szCs w:val="28"/>
          <w:lang w:val="vi-VN"/>
        </w:rPr>
        <w:t xml:space="preserve">Thành lập một </w:t>
      </w:r>
      <w:r w:rsidR="00C36ADE">
        <w:rPr>
          <w:rFonts w:asciiTheme="majorHAnsi" w:hAnsiTheme="majorHAnsi" w:cstheme="majorHAnsi"/>
          <w:sz w:val="28"/>
          <w:szCs w:val="28"/>
        </w:rPr>
        <w:t xml:space="preserve">Ủy </w:t>
      </w:r>
      <w:r w:rsidRPr="00D6056B">
        <w:rPr>
          <w:rFonts w:asciiTheme="majorHAnsi" w:hAnsiTheme="majorHAnsi" w:cstheme="majorHAnsi"/>
          <w:sz w:val="28"/>
          <w:szCs w:val="28"/>
          <w:lang w:val="vi-VN"/>
        </w:rPr>
        <w:t>ban cân nhắc về việc công bố thông tin đóng trực thuộc Cục Bảo hiểm Y tế quốc dân để cân nhắc kỹ lưỡng về việc công bố thông tin cá nhân,</w:t>
      </w:r>
      <w:r w:rsidR="00A305C3">
        <w:rPr>
          <w:rFonts w:asciiTheme="majorHAnsi" w:hAnsiTheme="majorHAnsi" w:cstheme="majorHAnsi"/>
          <w:sz w:val="28"/>
          <w:szCs w:val="28"/>
        </w:rPr>
        <w:t>…</w:t>
      </w:r>
      <w:r w:rsidRPr="00D6056B">
        <w:rPr>
          <w:rFonts w:asciiTheme="majorHAnsi" w:hAnsiTheme="majorHAnsi" w:cstheme="majorHAnsi"/>
          <w:sz w:val="28"/>
          <w:szCs w:val="28"/>
          <w:lang w:val="vi-VN"/>
        </w:rPr>
        <w:t xml:space="preserve"> </w:t>
      </w:r>
      <w:r w:rsidRPr="00D6056B">
        <w:rPr>
          <w:rFonts w:asciiTheme="majorHAnsi" w:hAnsiTheme="majorHAnsi" w:cstheme="majorHAnsi"/>
          <w:spacing w:val="-2"/>
          <w:sz w:val="28"/>
          <w:szCs w:val="28"/>
          <w:lang w:val="vi-VN"/>
        </w:rPr>
        <w:t>Cục Bảo hiểm Y tế quốc dân sẽ ban hành một văn bản thông báo đến người mà toàn bộ thông tin cá nhân,</w:t>
      </w:r>
      <w:r w:rsidR="00A305C3">
        <w:rPr>
          <w:rFonts w:asciiTheme="majorHAnsi" w:hAnsiTheme="majorHAnsi" w:cstheme="majorHAnsi"/>
          <w:spacing w:val="-2"/>
          <w:sz w:val="28"/>
          <w:szCs w:val="28"/>
          <w:lang w:val="vi-VN"/>
        </w:rPr>
        <w:t>...</w:t>
      </w:r>
      <w:r w:rsidR="00A305C3">
        <w:rPr>
          <w:rFonts w:asciiTheme="majorHAnsi" w:hAnsiTheme="majorHAnsi" w:cstheme="majorHAnsi"/>
          <w:spacing w:val="-2"/>
          <w:sz w:val="28"/>
          <w:szCs w:val="28"/>
        </w:rPr>
        <w:t xml:space="preserve"> </w:t>
      </w:r>
      <w:r w:rsidRPr="00D6056B">
        <w:rPr>
          <w:rFonts w:asciiTheme="majorHAnsi" w:hAnsiTheme="majorHAnsi" w:cstheme="majorHAnsi"/>
          <w:spacing w:val="-2"/>
          <w:sz w:val="28"/>
          <w:szCs w:val="28"/>
          <w:lang w:val="vi-VN"/>
        </w:rPr>
        <w:t>của họ đã được Ủy ban cân nhắc công bố thông tin đóng bảo hiểm quyết định là cho công khai đồng thời cho người đó một cơ hội để giải thích việc chậm/trố</w:t>
      </w:r>
      <w:r w:rsidR="00A305C3">
        <w:rPr>
          <w:rFonts w:asciiTheme="majorHAnsi" w:hAnsiTheme="majorHAnsi" w:cstheme="majorHAnsi"/>
          <w:spacing w:val="-2"/>
          <w:sz w:val="28"/>
          <w:szCs w:val="28"/>
          <w:lang w:val="vi-VN"/>
        </w:rPr>
        <w:t>n đóng, và</w:t>
      </w:r>
      <w:r w:rsidRPr="00D6056B">
        <w:rPr>
          <w:rFonts w:asciiTheme="majorHAnsi" w:hAnsiTheme="majorHAnsi" w:cstheme="majorHAnsi"/>
          <w:spacing w:val="-2"/>
          <w:sz w:val="28"/>
          <w:szCs w:val="28"/>
          <w:lang w:val="vi-VN"/>
        </w:rPr>
        <w:t xml:space="preserve"> 6 tháng kể từ ngày ban hành văn bản thông báo</w:t>
      </w:r>
      <w:r w:rsidRPr="00D6056B">
        <w:rPr>
          <w:rFonts w:asciiTheme="majorHAnsi" w:hAnsiTheme="majorHAnsi" w:cstheme="majorHAnsi"/>
          <w:spacing w:val="-4"/>
          <w:sz w:val="28"/>
          <w:szCs w:val="28"/>
          <w:lang w:val="vi-VN"/>
        </w:rPr>
        <w:t>, Ủy ban này cuối cùng sẽ quyết định công bố toàn bộ thông ti</w:t>
      </w:r>
      <w:r w:rsidR="00A305C3">
        <w:rPr>
          <w:rFonts w:asciiTheme="majorHAnsi" w:hAnsiTheme="majorHAnsi" w:cstheme="majorHAnsi"/>
          <w:spacing w:val="-4"/>
          <w:sz w:val="28"/>
          <w:szCs w:val="28"/>
          <w:lang w:val="vi-VN"/>
        </w:rPr>
        <w:t>n cá nhân,..</w:t>
      </w:r>
      <w:r w:rsidRPr="00D6056B">
        <w:rPr>
          <w:rFonts w:asciiTheme="majorHAnsi" w:hAnsiTheme="majorHAnsi" w:cstheme="majorHAnsi"/>
          <w:spacing w:val="-4"/>
          <w:sz w:val="28"/>
          <w:szCs w:val="28"/>
          <w:lang w:val="vi-VN"/>
        </w:rPr>
        <w:t>. của người này bằng cách xem xét đến các yếu tố như là liệu người đó đã và đang có khả năng đóng các khoản phí truy thu hay không</w:t>
      </w:r>
      <w:r w:rsidRPr="00D6056B">
        <w:rPr>
          <w:rFonts w:asciiTheme="majorHAnsi" w:hAnsiTheme="majorHAnsi" w:cstheme="majorHAnsi"/>
          <w:spacing w:val="-3"/>
          <w:sz w:val="28"/>
          <w:szCs w:val="28"/>
          <w:lang w:val="vi-VN"/>
        </w:rPr>
        <w:t>.</w:t>
      </w:r>
      <w:r w:rsidRPr="00D6056B">
        <w:rPr>
          <w:rFonts w:asciiTheme="majorHAnsi" w:hAnsiTheme="majorHAnsi" w:cstheme="majorHAnsi"/>
          <w:sz w:val="28"/>
          <w:szCs w:val="28"/>
          <w:lang w:val="vi-VN"/>
        </w:rPr>
        <w:t xml:space="preserve"> </w:t>
      </w:r>
      <w:r w:rsidRPr="00D6056B">
        <w:rPr>
          <w:rFonts w:asciiTheme="majorHAnsi" w:hAnsiTheme="majorHAnsi" w:cstheme="majorHAnsi"/>
          <w:spacing w:val="-2"/>
          <w:sz w:val="28"/>
          <w:szCs w:val="28"/>
          <w:lang w:val="vi-VN"/>
        </w:rPr>
        <w:t>Việc công bố</w:t>
      </w:r>
      <w:r w:rsidR="00C36ADE">
        <w:rPr>
          <w:rFonts w:asciiTheme="majorHAnsi" w:hAnsiTheme="majorHAnsi" w:cstheme="majorHAnsi"/>
          <w:spacing w:val="-2"/>
          <w:sz w:val="28"/>
          <w:szCs w:val="28"/>
          <w:lang w:val="vi-VN"/>
        </w:rPr>
        <w:t xml:space="preserve"> thông tin cá nhân</w:t>
      </w:r>
      <w:r w:rsidRPr="00D6056B">
        <w:rPr>
          <w:rFonts w:asciiTheme="majorHAnsi" w:hAnsiTheme="majorHAnsi" w:cstheme="majorHAnsi"/>
          <w:spacing w:val="-2"/>
          <w:sz w:val="28"/>
          <w:szCs w:val="28"/>
          <w:lang w:val="vi-VN"/>
        </w:rPr>
        <w:t xml:space="preserve"> sẽ được công bố trên Công báo chính thức của Cục Bảo hiểm Y tế hoặc trên trang web mạng internet của Cục</w:t>
      </w:r>
      <w:r w:rsidRPr="00D6056B">
        <w:rPr>
          <w:rFonts w:asciiTheme="majorHAnsi" w:hAnsiTheme="majorHAnsi" w:cstheme="majorHAnsi"/>
          <w:spacing w:val="-4"/>
          <w:sz w:val="28"/>
          <w:szCs w:val="28"/>
          <w:lang w:val="vi-VN"/>
        </w:rPr>
        <w:t>.</w:t>
      </w:r>
      <w:r w:rsidRPr="00D6056B">
        <w:rPr>
          <w:rFonts w:asciiTheme="majorHAnsi" w:hAnsiTheme="majorHAnsi" w:cstheme="majorHAnsi"/>
          <w:sz w:val="28"/>
          <w:szCs w:val="28"/>
          <w:lang w:val="vi-VN"/>
        </w:rPr>
        <w:t xml:space="preserve"> </w:t>
      </w:r>
      <w:r w:rsidRPr="00D6056B">
        <w:rPr>
          <w:rFonts w:asciiTheme="majorHAnsi" w:hAnsiTheme="majorHAnsi" w:cstheme="majorHAnsi"/>
          <w:spacing w:val="-4"/>
          <w:sz w:val="28"/>
          <w:szCs w:val="28"/>
          <w:lang w:val="vi-VN"/>
        </w:rPr>
        <w:t>Các vấn đề về việc công bố</w:t>
      </w:r>
      <w:r w:rsidR="00C36ADE">
        <w:rPr>
          <w:rFonts w:asciiTheme="majorHAnsi" w:hAnsiTheme="majorHAnsi" w:cstheme="majorHAnsi"/>
          <w:spacing w:val="-4"/>
          <w:sz w:val="28"/>
          <w:szCs w:val="28"/>
          <w:lang w:val="vi-VN"/>
        </w:rPr>
        <w:t xml:space="preserve"> thông tin cá nhân</w:t>
      </w:r>
      <w:r w:rsidRPr="00D6056B">
        <w:rPr>
          <w:rFonts w:asciiTheme="majorHAnsi" w:hAnsiTheme="majorHAnsi" w:cstheme="majorHAnsi"/>
          <w:spacing w:val="-4"/>
          <w:sz w:val="28"/>
          <w:szCs w:val="28"/>
          <w:lang w:val="vi-VN"/>
        </w:rPr>
        <w:t xml:space="preserve"> như cơ sở đánh giá khả năng đóng, đóng phí truy thu, quy trình công bố, và thành phần </w:t>
      </w:r>
      <w:r w:rsidRPr="00D6056B">
        <w:rPr>
          <w:rFonts w:asciiTheme="majorHAnsi" w:hAnsiTheme="majorHAnsi" w:cstheme="majorHAnsi"/>
          <w:spacing w:val="-4"/>
          <w:sz w:val="28"/>
          <w:szCs w:val="28"/>
          <w:lang w:val="vi-VN"/>
        </w:rPr>
        <w:lastRenderedPageBreak/>
        <w:t>cũng như cơ chế vận hành của Ủy ban cân nhắc công bố thông tin đóng, được quy định trong Sắc lệnh của Tổng thống</w:t>
      </w:r>
      <w:r w:rsidRPr="00D6056B">
        <w:rPr>
          <w:rFonts w:asciiTheme="majorHAnsi" w:hAnsiTheme="majorHAnsi" w:cstheme="majorHAnsi"/>
          <w:spacing w:val="-3"/>
          <w:sz w:val="28"/>
          <w:szCs w:val="28"/>
          <w:lang w:val="vi-VN"/>
        </w:rPr>
        <w:t xml:space="preserve">. </w:t>
      </w:r>
    </w:p>
    <w:p w:rsidR="00D6056B" w:rsidRPr="00A305C3" w:rsidRDefault="001473E4" w:rsidP="00D6056B">
      <w:pPr>
        <w:tabs>
          <w:tab w:val="left" w:pos="413"/>
        </w:tabs>
        <w:spacing w:before="120" w:after="0"/>
        <w:ind w:right="109" w:firstLine="720"/>
        <w:jc w:val="both"/>
        <w:rPr>
          <w:rFonts w:asciiTheme="majorHAnsi" w:hAnsiTheme="majorHAnsi" w:cstheme="majorHAnsi"/>
          <w:b/>
          <w:i/>
          <w:spacing w:val="-3"/>
          <w:sz w:val="28"/>
          <w:szCs w:val="28"/>
          <w:lang w:val="vi-VN"/>
        </w:rPr>
      </w:pPr>
      <w:r>
        <w:rPr>
          <w:rFonts w:asciiTheme="majorHAnsi" w:hAnsiTheme="majorHAnsi" w:cstheme="majorHAnsi"/>
          <w:b/>
          <w:i/>
          <w:spacing w:val="-3"/>
          <w:sz w:val="28"/>
          <w:szCs w:val="28"/>
        </w:rPr>
        <w:t>2.4.</w:t>
      </w:r>
      <w:r w:rsidR="00D6056B" w:rsidRPr="00A305C3">
        <w:rPr>
          <w:rFonts w:asciiTheme="majorHAnsi" w:hAnsiTheme="majorHAnsi" w:cstheme="majorHAnsi"/>
          <w:b/>
          <w:i/>
          <w:spacing w:val="-3"/>
          <w:sz w:val="28"/>
          <w:szCs w:val="28"/>
          <w:lang w:val="vi-VN"/>
        </w:rPr>
        <w:t xml:space="preserve"> Các hành vi vi phạm khác</w:t>
      </w:r>
    </w:p>
    <w:p w:rsidR="00D6056B" w:rsidRPr="00D6056B" w:rsidRDefault="00D6056B" w:rsidP="00D6056B">
      <w:pPr>
        <w:tabs>
          <w:tab w:val="left" w:pos="413"/>
        </w:tabs>
        <w:spacing w:before="120" w:after="0"/>
        <w:ind w:right="109"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Một người nhận được khoản hưởng chế độ thông qua các phương thức có tính chất lừa đảo hoặc không trung thực sẽ chịu sự trừng phạt bằng hình thức tù giam trong một khoảng thời gian không quá 3 năm hoặc nộp phạt số tiền không qua 30 triệu won.</w:t>
      </w:r>
    </w:p>
    <w:p w:rsidR="00D6056B" w:rsidRPr="00D6056B" w:rsidRDefault="00D6056B" w:rsidP="00D6056B">
      <w:pPr>
        <w:tabs>
          <w:tab w:val="left" w:pos="413"/>
        </w:tabs>
        <w:spacing w:before="120" w:after="0"/>
        <w:ind w:right="109"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Một người rơi vào một trong các </w:t>
      </w:r>
      <w:r w:rsidR="00C36ADE">
        <w:rPr>
          <w:rFonts w:asciiTheme="majorHAnsi" w:hAnsiTheme="majorHAnsi" w:cstheme="majorHAnsi"/>
          <w:sz w:val="28"/>
          <w:szCs w:val="28"/>
        </w:rPr>
        <w:t>m</w:t>
      </w:r>
      <w:r w:rsidRPr="00D6056B">
        <w:rPr>
          <w:rFonts w:asciiTheme="majorHAnsi" w:hAnsiTheme="majorHAnsi" w:cstheme="majorHAnsi"/>
          <w:sz w:val="28"/>
          <w:szCs w:val="28"/>
          <w:lang w:val="vi-VN"/>
        </w:rPr>
        <w:t>ục sau sẽ chịu sự trừng phạt bằng hình thức tù giam trong thời gian tối đa một năm hoặc nộp phạt số tiền không quá mười (10) nghìn won:</w:t>
      </w:r>
    </w:p>
    <w:p w:rsidR="00D6056B" w:rsidRPr="00D6056B" w:rsidRDefault="00A305C3" w:rsidP="00D6056B">
      <w:pPr>
        <w:tabs>
          <w:tab w:val="left" w:pos="993"/>
        </w:tabs>
        <w:spacing w:before="120" w:after="0"/>
        <w:ind w:right="109" w:firstLine="720"/>
        <w:jc w:val="both"/>
        <w:rPr>
          <w:rFonts w:asciiTheme="majorHAnsi" w:hAnsiTheme="majorHAnsi" w:cstheme="majorHAnsi"/>
          <w:sz w:val="28"/>
          <w:szCs w:val="28"/>
          <w:lang w:val="vi-VN"/>
        </w:rPr>
      </w:pPr>
      <w:r>
        <w:rPr>
          <w:rFonts w:asciiTheme="majorHAnsi" w:hAnsiTheme="majorHAnsi" w:cstheme="majorHAnsi"/>
          <w:sz w:val="28"/>
          <w:szCs w:val="28"/>
        </w:rPr>
        <w:t>(</w:t>
      </w:r>
      <w:r w:rsidR="00D6056B" w:rsidRPr="00D6056B">
        <w:rPr>
          <w:rFonts w:asciiTheme="majorHAnsi" w:hAnsiTheme="majorHAnsi" w:cstheme="majorHAnsi"/>
          <w:sz w:val="28"/>
          <w:szCs w:val="28"/>
          <w:lang w:val="vi-VN"/>
        </w:rPr>
        <w:t>1</w:t>
      </w:r>
      <w:r>
        <w:rPr>
          <w:rFonts w:asciiTheme="majorHAnsi" w:hAnsiTheme="majorHAnsi" w:cstheme="majorHAnsi"/>
          <w:sz w:val="28"/>
          <w:szCs w:val="28"/>
        </w:rPr>
        <w:t xml:space="preserve">) </w:t>
      </w:r>
      <w:r w:rsidR="00D6056B" w:rsidRPr="00D6056B">
        <w:rPr>
          <w:rFonts w:asciiTheme="majorHAnsi" w:hAnsiTheme="majorHAnsi" w:cstheme="majorHAnsi"/>
          <w:sz w:val="28"/>
          <w:szCs w:val="28"/>
          <w:lang w:val="vi-VN"/>
        </w:rPr>
        <w:t>Một người sử dụng lao động bắt người lao động tại nơi làm việc của họ phải đóng toàn bộ hoặc một phần nghĩa vụ pháp lý mà chủ lao động phải đóng hoặc giảm trừ bất kể một khoản nào vượt quá số tiền đóng của người lao động từ lương của người lao động đó;</w:t>
      </w:r>
    </w:p>
    <w:p w:rsidR="00D6056B" w:rsidRPr="00D6056B" w:rsidRDefault="00A305C3" w:rsidP="00D6056B">
      <w:pPr>
        <w:tabs>
          <w:tab w:val="left" w:pos="993"/>
        </w:tabs>
        <w:spacing w:before="120" w:after="0"/>
        <w:ind w:right="109" w:firstLine="720"/>
        <w:jc w:val="both"/>
        <w:rPr>
          <w:rFonts w:asciiTheme="majorHAnsi" w:hAnsiTheme="majorHAnsi" w:cstheme="majorHAnsi"/>
          <w:sz w:val="28"/>
          <w:szCs w:val="28"/>
          <w:lang w:val="vi-VN"/>
        </w:rPr>
      </w:pPr>
      <w:r>
        <w:rPr>
          <w:rFonts w:asciiTheme="majorHAnsi" w:hAnsiTheme="majorHAnsi" w:cstheme="majorHAnsi"/>
          <w:sz w:val="28"/>
          <w:szCs w:val="28"/>
        </w:rPr>
        <w:t>(</w:t>
      </w:r>
      <w:r w:rsidR="00D6056B" w:rsidRPr="00D6056B">
        <w:rPr>
          <w:rFonts w:asciiTheme="majorHAnsi" w:hAnsiTheme="majorHAnsi" w:cstheme="majorHAnsi"/>
          <w:sz w:val="28"/>
          <w:szCs w:val="28"/>
          <w:lang w:val="vi-VN"/>
        </w:rPr>
        <w:t>2</w:t>
      </w:r>
      <w:r>
        <w:rPr>
          <w:rFonts w:asciiTheme="majorHAnsi" w:hAnsiTheme="majorHAnsi" w:cstheme="majorHAnsi"/>
          <w:sz w:val="28"/>
          <w:szCs w:val="28"/>
        </w:rPr>
        <w:t xml:space="preserve">) </w:t>
      </w:r>
      <w:r w:rsidR="00D6056B" w:rsidRPr="00D6056B">
        <w:rPr>
          <w:rFonts w:asciiTheme="majorHAnsi" w:hAnsiTheme="majorHAnsi" w:cstheme="majorHAnsi"/>
          <w:sz w:val="28"/>
          <w:szCs w:val="28"/>
          <w:lang w:val="vi-VN"/>
        </w:rPr>
        <w:t>Một người sử dụng lao động đã không thực hiện đóng mà không có một lí do thích đáng nào trong khoảng thời gian đóng;</w:t>
      </w:r>
    </w:p>
    <w:p w:rsidR="00D6056B" w:rsidRPr="00D6056B" w:rsidRDefault="00A305C3" w:rsidP="00D6056B">
      <w:pPr>
        <w:tabs>
          <w:tab w:val="left" w:pos="993"/>
        </w:tabs>
        <w:spacing w:before="120" w:after="0"/>
        <w:ind w:right="109" w:firstLine="720"/>
        <w:jc w:val="both"/>
        <w:rPr>
          <w:rFonts w:asciiTheme="majorHAnsi" w:hAnsiTheme="majorHAnsi" w:cstheme="majorHAnsi"/>
          <w:sz w:val="28"/>
          <w:szCs w:val="28"/>
          <w:lang w:val="vi-VN"/>
        </w:rPr>
      </w:pPr>
      <w:r>
        <w:rPr>
          <w:rFonts w:asciiTheme="majorHAnsi" w:hAnsiTheme="majorHAnsi" w:cstheme="majorHAnsi"/>
          <w:sz w:val="28"/>
          <w:szCs w:val="28"/>
        </w:rPr>
        <w:t>(</w:t>
      </w:r>
      <w:r w:rsidR="00D6056B" w:rsidRPr="00D6056B">
        <w:rPr>
          <w:rFonts w:asciiTheme="majorHAnsi" w:hAnsiTheme="majorHAnsi" w:cstheme="majorHAnsi"/>
          <w:sz w:val="28"/>
          <w:szCs w:val="28"/>
          <w:lang w:val="vi-VN"/>
        </w:rPr>
        <w:t>3</w:t>
      </w:r>
      <w:r>
        <w:rPr>
          <w:rFonts w:asciiTheme="majorHAnsi" w:hAnsiTheme="majorHAnsi" w:cstheme="majorHAnsi"/>
          <w:sz w:val="28"/>
          <w:szCs w:val="28"/>
        </w:rPr>
        <w:t xml:space="preserve">) </w:t>
      </w:r>
      <w:r w:rsidR="00D6056B" w:rsidRPr="00D6056B">
        <w:rPr>
          <w:rFonts w:asciiTheme="majorHAnsi" w:hAnsiTheme="majorHAnsi" w:cstheme="majorHAnsi"/>
          <w:sz w:val="28"/>
          <w:szCs w:val="28"/>
          <w:lang w:val="vi-VN"/>
        </w:rPr>
        <w:t xml:space="preserve">Một người sử dụng lao động vi phạm các quy định, giữ lại các khoản phí hoặc phần lương tăng thêm, sa thải người lao động, hoặc đối xử thiếu thiện chí với người lao động với mục đích ngầm ngăn cảm người lao động trở thành người được bảo hiểm hoặc trốn đóng phần tăng thêm theo nghĩa vụ; và </w:t>
      </w:r>
    </w:p>
    <w:p w:rsidR="00D6056B" w:rsidRPr="00D6056B" w:rsidRDefault="00A305C3" w:rsidP="00D6056B">
      <w:pPr>
        <w:tabs>
          <w:tab w:val="left" w:pos="993"/>
        </w:tabs>
        <w:spacing w:before="120" w:after="0"/>
        <w:ind w:right="109" w:firstLine="720"/>
        <w:jc w:val="both"/>
        <w:rPr>
          <w:rFonts w:asciiTheme="majorHAnsi" w:hAnsiTheme="majorHAnsi" w:cstheme="majorHAnsi"/>
          <w:sz w:val="28"/>
          <w:szCs w:val="28"/>
          <w:lang w:val="vi-VN"/>
        </w:rPr>
      </w:pPr>
      <w:r>
        <w:rPr>
          <w:rFonts w:asciiTheme="majorHAnsi" w:hAnsiTheme="majorHAnsi" w:cstheme="majorHAnsi"/>
          <w:sz w:val="28"/>
          <w:szCs w:val="28"/>
        </w:rPr>
        <w:t>(</w:t>
      </w:r>
      <w:r>
        <w:rPr>
          <w:rFonts w:asciiTheme="majorHAnsi" w:hAnsiTheme="majorHAnsi" w:cstheme="majorHAnsi"/>
          <w:sz w:val="28"/>
          <w:szCs w:val="28"/>
          <w:lang w:val="vi-VN"/>
        </w:rPr>
        <w:t>4</w:t>
      </w:r>
      <w:r>
        <w:rPr>
          <w:rFonts w:asciiTheme="majorHAnsi" w:hAnsiTheme="majorHAnsi" w:cstheme="majorHAnsi"/>
          <w:sz w:val="28"/>
          <w:szCs w:val="28"/>
        </w:rPr>
        <w:t xml:space="preserve">) </w:t>
      </w:r>
      <w:r w:rsidR="00D6056B" w:rsidRPr="00D6056B">
        <w:rPr>
          <w:rFonts w:asciiTheme="majorHAnsi" w:hAnsiTheme="majorHAnsi" w:cstheme="majorHAnsi"/>
          <w:sz w:val="28"/>
          <w:szCs w:val="28"/>
          <w:lang w:val="vi-VN"/>
        </w:rPr>
        <w:t>Bất kể người nào công khai thông tin mật mà người đó có có được trong quá trình thực hiện nghĩa vụ.</w:t>
      </w:r>
    </w:p>
    <w:p w:rsidR="00D6056B" w:rsidRPr="00D6056B" w:rsidRDefault="00D6056B" w:rsidP="00D6056B">
      <w:pPr>
        <w:tabs>
          <w:tab w:val="left" w:pos="993"/>
        </w:tabs>
        <w:spacing w:before="120" w:after="0"/>
        <w:ind w:right="109"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Khi một người đại diện hoặc một cơ quan đại diện của một tổ chức, hoặc một cá nhân, một người sử dụng lao động, hoặc một trong số các nhân viên của một tổ chức đã vi phạm theo quy định về các vụ việc của tổ chức hoặc cá nhân, thì tổ chức đó hoặc cá nhân đó cũng sẽ bị xử phạt bằng hình thức nộp phạt như quy định có liên quan, cộng thêm với khoản phạt vi phạm đối với người vi phạm. Tuy nhiên, nếu tổ chức hoặc cá nhân đã chủ động thận trọng và phòng ngừa vi phạm, thì họ sẽ không bị phạt.</w:t>
      </w:r>
    </w:p>
    <w:p w:rsidR="00D6056B" w:rsidRPr="00D6056B" w:rsidRDefault="00D6056B" w:rsidP="00D6056B">
      <w:pPr>
        <w:tabs>
          <w:tab w:val="left" w:pos="993"/>
        </w:tabs>
        <w:spacing w:before="120" w:after="0"/>
        <w:ind w:right="109"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Một người rơi vào một trong các quy định tại các </w:t>
      </w:r>
      <w:r w:rsidR="00C36ADE">
        <w:rPr>
          <w:rFonts w:asciiTheme="majorHAnsi" w:hAnsiTheme="majorHAnsi" w:cstheme="majorHAnsi"/>
          <w:sz w:val="28"/>
          <w:szCs w:val="28"/>
        </w:rPr>
        <w:t>m</w:t>
      </w:r>
      <w:r w:rsidRPr="00D6056B">
        <w:rPr>
          <w:rFonts w:asciiTheme="majorHAnsi" w:hAnsiTheme="majorHAnsi" w:cstheme="majorHAnsi"/>
          <w:sz w:val="28"/>
          <w:szCs w:val="28"/>
          <w:lang w:val="vi-VN"/>
        </w:rPr>
        <w:t>ục sau đây sẽ phải chấp hành nộp khoản tiền phạt mặc định không vượt quá 500.000 won:</w:t>
      </w:r>
    </w:p>
    <w:p w:rsidR="00D6056B" w:rsidRPr="00D6056B" w:rsidRDefault="003C6BB7" w:rsidP="00D6056B">
      <w:pPr>
        <w:tabs>
          <w:tab w:val="left" w:pos="993"/>
        </w:tabs>
        <w:spacing w:before="120" w:after="0"/>
        <w:ind w:right="109" w:firstLine="720"/>
        <w:jc w:val="both"/>
        <w:rPr>
          <w:rFonts w:asciiTheme="majorHAnsi" w:hAnsiTheme="majorHAnsi" w:cstheme="majorHAnsi"/>
          <w:sz w:val="28"/>
          <w:szCs w:val="28"/>
          <w:lang w:val="vi-VN"/>
        </w:rPr>
      </w:pPr>
      <w:r>
        <w:rPr>
          <w:rFonts w:asciiTheme="majorHAnsi" w:hAnsiTheme="majorHAnsi" w:cstheme="majorHAnsi"/>
          <w:sz w:val="28"/>
          <w:szCs w:val="28"/>
        </w:rPr>
        <w:t>(</w:t>
      </w:r>
      <w:r w:rsidR="00D6056B" w:rsidRPr="00D6056B">
        <w:rPr>
          <w:rFonts w:asciiTheme="majorHAnsi" w:hAnsiTheme="majorHAnsi" w:cstheme="majorHAnsi"/>
          <w:sz w:val="28"/>
          <w:szCs w:val="28"/>
          <w:lang w:val="vi-VN"/>
        </w:rPr>
        <w:t>1</w:t>
      </w:r>
      <w:r>
        <w:rPr>
          <w:rFonts w:asciiTheme="majorHAnsi" w:hAnsiTheme="majorHAnsi" w:cstheme="majorHAnsi"/>
          <w:sz w:val="28"/>
          <w:szCs w:val="28"/>
        </w:rPr>
        <w:t xml:space="preserve">) </w:t>
      </w:r>
      <w:r w:rsidR="00D6056B" w:rsidRPr="00D6056B">
        <w:rPr>
          <w:rFonts w:asciiTheme="majorHAnsi" w:hAnsiTheme="majorHAnsi" w:cstheme="majorHAnsi"/>
          <w:sz w:val="28"/>
          <w:szCs w:val="28"/>
          <w:lang w:val="vi-VN"/>
        </w:rPr>
        <w:t>Người sử dụng lao động không làm báo cáo hoặc báo cáo sai.</w:t>
      </w:r>
    </w:p>
    <w:p w:rsidR="00D6056B" w:rsidRPr="00D6056B" w:rsidRDefault="003C6BB7" w:rsidP="00D6056B">
      <w:pPr>
        <w:tabs>
          <w:tab w:val="left" w:pos="993"/>
        </w:tabs>
        <w:spacing w:before="120" w:after="0"/>
        <w:ind w:right="109" w:firstLine="720"/>
        <w:jc w:val="both"/>
        <w:rPr>
          <w:rFonts w:asciiTheme="majorHAnsi" w:hAnsiTheme="majorHAnsi" w:cstheme="majorHAnsi"/>
          <w:sz w:val="28"/>
          <w:szCs w:val="28"/>
          <w:lang w:val="vi-VN"/>
        </w:rPr>
      </w:pPr>
      <w:r>
        <w:rPr>
          <w:rFonts w:asciiTheme="majorHAnsi" w:hAnsiTheme="majorHAnsi" w:cstheme="majorHAnsi"/>
          <w:sz w:val="28"/>
          <w:szCs w:val="28"/>
        </w:rPr>
        <w:t>(</w:t>
      </w:r>
      <w:r>
        <w:rPr>
          <w:rFonts w:asciiTheme="majorHAnsi" w:hAnsiTheme="majorHAnsi" w:cstheme="majorHAnsi"/>
          <w:sz w:val="28"/>
          <w:szCs w:val="28"/>
          <w:lang w:val="vi-VN"/>
        </w:rPr>
        <w:t>2</w:t>
      </w:r>
      <w:r>
        <w:rPr>
          <w:rFonts w:asciiTheme="majorHAnsi" w:hAnsiTheme="majorHAnsi" w:cstheme="majorHAnsi"/>
          <w:sz w:val="28"/>
          <w:szCs w:val="28"/>
        </w:rPr>
        <w:t xml:space="preserve">) </w:t>
      </w:r>
      <w:r w:rsidR="00D6056B" w:rsidRPr="00D6056B">
        <w:rPr>
          <w:rFonts w:asciiTheme="majorHAnsi" w:hAnsiTheme="majorHAnsi" w:cstheme="majorHAnsi"/>
          <w:sz w:val="28"/>
          <w:szCs w:val="28"/>
          <w:lang w:val="vi-VN"/>
        </w:rPr>
        <w:t xml:space="preserve">Người sử dụng lao động từ chối, phá vỡ, hoặc can thiệp vào các đề nghị của Cục Hưu trí quốc dân hoặc công chức của Cục, hoặc cung cấp giấy tờ </w:t>
      </w:r>
      <w:r w:rsidR="00D6056B" w:rsidRPr="00D6056B">
        <w:rPr>
          <w:rFonts w:asciiTheme="majorHAnsi" w:hAnsiTheme="majorHAnsi" w:cstheme="majorHAnsi"/>
          <w:sz w:val="28"/>
          <w:szCs w:val="28"/>
          <w:lang w:val="vi-VN"/>
        </w:rPr>
        <w:lastRenderedPageBreak/>
        <w:t>giả mạo, khi Cục Hưu trí quốc dân và chuyên viên của Cục đề nghị nộp giấy tờ tài liệu, hoặc trong quá trình điều tra hoặc thẩm vấn.</w:t>
      </w:r>
    </w:p>
    <w:p w:rsidR="00D6056B" w:rsidRPr="00D6056B" w:rsidRDefault="00D6056B" w:rsidP="00D6056B">
      <w:pPr>
        <w:tabs>
          <w:tab w:val="left" w:pos="993"/>
        </w:tabs>
        <w:spacing w:before="120" w:after="0"/>
        <w:ind w:right="109" w:firstLine="720"/>
        <w:jc w:val="both"/>
        <w:rPr>
          <w:rFonts w:asciiTheme="majorHAnsi" w:hAnsiTheme="majorHAnsi" w:cstheme="majorHAnsi"/>
          <w:sz w:val="28"/>
          <w:szCs w:val="28"/>
          <w:lang w:val="vi-VN"/>
        </w:rPr>
      </w:pPr>
      <w:r w:rsidRPr="00D6056B">
        <w:rPr>
          <w:rFonts w:asciiTheme="majorHAnsi" w:hAnsiTheme="majorHAnsi" w:cstheme="majorHAnsi"/>
          <w:sz w:val="28"/>
          <w:szCs w:val="28"/>
          <w:lang w:val="vi-VN"/>
        </w:rPr>
        <w:t xml:space="preserve">Một người rơi vào một trong các quy định của các </w:t>
      </w:r>
      <w:r w:rsidR="00C36ADE">
        <w:rPr>
          <w:rFonts w:asciiTheme="majorHAnsi" w:hAnsiTheme="majorHAnsi" w:cstheme="majorHAnsi"/>
          <w:sz w:val="28"/>
          <w:szCs w:val="28"/>
        </w:rPr>
        <w:t>m</w:t>
      </w:r>
      <w:r w:rsidRPr="00D6056B">
        <w:rPr>
          <w:rFonts w:asciiTheme="majorHAnsi" w:hAnsiTheme="majorHAnsi" w:cstheme="majorHAnsi"/>
          <w:sz w:val="28"/>
          <w:szCs w:val="28"/>
          <w:lang w:val="vi-VN"/>
        </w:rPr>
        <w:t xml:space="preserve">ục sau đây sẽ phải chấp hành nộp khoản tiền phạt mặc định không vượt quá 100.000  won:  </w:t>
      </w:r>
    </w:p>
    <w:p w:rsidR="00D6056B" w:rsidRPr="00D6056B" w:rsidRDefault="003C6BB7" w:rsidP="00D6056B">
      <w:pPr>
        <w:tabs>
          <w:tab w:val="left" w:pos="993"/>
        </w:tabs>
        <w:spacing w:before="120" w:after="0"/>
        <w:ind w:right="109" w:firstLine="720"/>
        <w:jc w:val="both"/>
        <w:rPr>
          <w:rFonts w:asciiTheme="majorHAnsi" w:hAnsiTheme="majorHAnsi" w:cstheme="majorHAnsi"/>
          <w:sz w:val="28"/>
          <w:szCs w:val="28"/>
          <w:lang w:val="vi-VN"/>
        </w:rPr>
      </w:pPr>
      <w:r>
        <w:rPr>
          <w:rFonts w:asciiTheme="majorHAnsi" w:hAnsiTheme="majorHAnsi" w:cstheme="majorHAnsi"/>
          <w:sz w:val="28"/>
          <w:szCs w:val="28"/>
        </w:rPr>
        <w:t>(</w:t>
      </w:r>
      <w:r>
        <w:rPr>
          <w:rFonts w:asciiTheme="majorHAnsi" w:hAnsiTheme="majorHAnsi" w:cstheme="majorHAnsi"/>
          <w:sz w:val="28"/>
          <w:szCs w:val="28"/>
          <w:lang w:val="vi-VN"/>
        </w:rPr>
        <w:t>1</w:t>
      </w:r>
      <w:r>
        <w:rPr>
          <w:rFonts w:asciiTheme="majorHAnsi" w:hAnsiTheme="majorHAnsi" w:cstheme="majorHAnsi"/>
          <w:sz w:val="28"/>
          <w:szCs w:val="28"/>
        </w:rPr>
        <w:t xml:space="preserve">) </w:t>
      </w:r>
      <w:r w:rsidR="00D6056B" w:rsidRPr="00D6056B">
        <w:rPr>
          <w:rFonts w:asciiTheme="majorHAnsi" w:hAnsiTheme="majorHAnsi" w:cstheme="majorHAnsi"/>
          <w:sz w:val="28"/>
          <w:szCs w:val="28"/>
          <w:lang w:val="vi-VN"/>
        </w:rPr>
        <w:t>Một người không làm báo cáo theo quy định;</w:t>
      </w:r>
    </w:p>
    <w:p w:rsidR="00D6056B" w:rsidRPr="00D6056B" w:rsidRDefault="003C6BB7" w:rsidP="00D6056B">
      <w:pPr>
        <w:tabs>
          <w:tab w:val="left" w:pos="993"/>
        </w:tabs>
        <w:spacing w:before="120" w:after="0"/>
        <w:ind w:right="109" w:firstLine="720"/>
        <w:jc w:val="both"/>
        <w:rPr>
          <w:rFonts w:asciiTheme="majorHAnsi" w:hAnsiTheme="majorHAnsi" w:cstheme="majorHAnsi"/>
          <w:sz w:val="28"/>
          <w:szCs w:val="28"/>
          <w:lang w:val="vi-VN"/>
        </w:rPr>
      </w:pPr>
      <w:r>
        <w:rPr>
          <w:rFonts w:asciiTheme="majorHAnsi" w:hAnsiTheme="majorHAnsi" w:cstheme="majorHAnsi"/>
          <w:sz w:val="28"/>
          <w:szCs w:val="28"/>
        </w:rPr>
        <w:t>(</w:t>
      </w:r>
      <w:r w:rsidR="00D6056B" w:rsidRPr="00D6056B">
        <w:rPr>
          <w:rFonts w:asciiTheme="majorHAnsi" w:hAnsiTheme="majorHAnsi" w:cstheme="majorHAnsi"/>
          <w:sz w:val="28"/>
          <w:szCs w:val="28"/>
          <w:lang w:val="vi-VN"/>
        </w:rPr>
        <w:t>2</w:t>
      </w:r>
      <w:r>
        <w:rPr>
          <w:rFonts w:asciiTheme="majorHAnsi" w:hAnsiTheme="majorHAnsi" w:cstheme="majorHAnsi"/>
          <w:sz w:val="28"/>
          <w:szCs w:val="28"/>
        </w:rPr>
        <w:t xml:space="preserve">) </w:t>
      </w:r>
      <w:r w:rsidR="00D6056B" w:rsidRPr="00D6056B">
        <w:rPr>
          <w:rFonts w:asciiTheme="majorHAnsi" w:hAnsiTheme="majorHAnsi" w:cstheme="majorHAnsi"/>
          <w:sz w:val="28"/>
          <w:szCs w:val="28"/>
          <w:lang w:val="vi-VN"/>
        </w:rPr>
        <w:t>Một người không báo cáo như đã quy định;</w:t>
      </w:r>
    </w:p>
    <w:p w:rsidR="00D6056B" w:rsidRPr="00D6056B" w:rsidRDefault="003C6BB7" w:rsidP="00D6056B">
      <w:pPr>
        <w:tabs>
          <w:tab w:val="left" w:pos="993"/>
        </w:tabs>
        <w:spacing w:before="120" w:after="0"/>
        <w:ind w:right="109" w:firstLine="720"/>
        <w:jc w:val="both"/>
        <w:rPr>
          <w:rFonts w:asciiTheme="majorHAnsi" w:hAnsiTheme="majorHAnsi" w:cstheme="majorHAnsi"/>
          <w:sz w:val="28"/>
          <w:szCs w:val="28"/>
          <w:lang w:val="vi-VN"/>
        </w:rPr>
      </w:pPr>
      <w:r>
        <w:rPr>
          <w:rFonts w:asciiTheme="majorHAnsi" w:hAnsiTheme="majorHAnsi" w:cstheme="majorHAnsi"/>
          <w:sz w:val="28"/>
          <w:szCs w:val="28"/>
        </w:rPr>
        <w:t>(</w:t>
      </w:r>
      <w:r w:rsidR="00D6056B" w:rsidRPr="00D6056B">
        <w:rPr>
          <w:rFonts w:asciiTheme="majorHAnsi" w:hAnsiTheme="majorHAnsi" w:cstheme="majorHAnsi"/>
          <w:sz w:val="28"/>
          <w:szCs w:val="28"/>
          <w:lang w:val="vi-VN"/>
        </w:rPr>
        <w:t>3</w:t>
      </w:r>
      <w:r>
        <w:rPr>
          <w:rFonts w:asciiTheme="majorHAnsi" w:hAnsiTheme="majorHAnsi" w:cstheme="majorHAnsi"/>
          <w:sz w:val="28"/>
          <w:szCs w:val="28"/>
        </w:rPr>
        <w:t xml:space="preserve">) </w:t>
      </w:r>
      <w:r w:rsidR="00D6056B" w:rsidRPr="00D6056B">
        <w:rPr>
          <w:rFonts w:asciiTheme="majorHAnsi" w:hAnsiTheme="majorHAnsi" w:cstheme="majorHAnsi"/>
          <w:sz w:val="28"/>
          <w:szCs w:val="28"/>
          <w:lang w:val="vi-VN"/>
        </w:rPr>
        <w:t>Một người đang tham gia hoặc đã tham gia bảo hiểm, hoặc là đối tượng hưởng mà từ chối, phá bỏ, hoặc can thiệp vào các đề nghị của Cục Hưu trí quốc dân hoặc các chuyên viên của Cục, hoặc cung cấp giấy tờ giả mạo khi Cục Hưu trí quốc dân hoặc các chuyên viên của Cục đề nghị nộp các giấy tờ và tài liệu liên quan tới thu nhập và tài sản, hoặc trong quá trình điều tra, hoặc thẩm vấn.</w:t>
      </w:r>
    </w:p>
    <w:p w:rsidR="00D6056B" w:rsidRPr="003C6BB7" w:rsidRDefault="001473E4" w:rsidP="001473E4">
      <w:pPr>
        <w:spacing w:before="120" w:after="0"/>
        <w:ind w:firstLine="720"/>
        <w:jc w:val="both"/>
        <w:rPr>
          <w:rFonts w:asciiTheme="majorHAnsi" w:eastAsia="Arial" w:hAnsiTheme="majorHAnsi" w:cstheme="majorHAnsi"/>
          <w:b/>
          <w:i/>
          <w:sz w:val="28"/>
          <w:szCs w:val="28"/>
        </w:rPr>
      </w:pPr>
      <w:r>
        <w:rPr>
          <w:rFonts w:asciiTheme="majorHAnsi" w:eastAsia="Arial" w:hAnsiTheme="majorHAnsi" w:cstheme="majorHAnsi"/>
          <w:b/>
          <w:i/>
          <w:sz w:val="28"/>
          <w:szCs w:val="28"/>
        </w:rPr>
        <w:t>2.5.</w:t>
      </w:r>
      <w:r w:rsidR="002A6C51" w:rsidRPr="003C6BB7">
        <w:rPr>
          <w:rFonts w:asciiTheme="majorHAnsi" w:eastAsia="Arial" w:hAnsiTheme="majorHAnsi" w:cstheme="majorHAnsi"/>
          <w:b/>
          <w:i/>
          <w:sz w:val="28"/>
          <w:szCs w:val="28"/>
        </w:rPr>
        <w:t xml:space="preserve"> Thanh tra bảo hiểm xã hội</w:t>
      </w:r>
    </w:p>
    <w:p w:rsidR="002A6C51" w:rsidRPr="002A6C51" w:rsidRDefault="002A6C51" w:rsidP="002A6C51">
      <w:pPr>
        <w:spacing w:before="120" w:after="0"/>
        <w:ind w:firstLine="720"/>
        <w:jc w:val="both"/>
        <w:rPr>
          <w:rFonts w:asciiTheme="majorHAnsi" w:eastAsia="Arial" w:hAnsiTheme="majorHAnsi" w:cstheme="majorHAnsi"/>
          <w:sz w:val="28"/>
          <w:szCs w:val="28"/>
        </w:rPr>
      </w:pPr>
      <w:r w:rsidRPr="002A6C51">
        <w:rPr>
          <w:rFonts w:asciiTheme="majorHAnsi" w:eastAsia="Arial" w:hAnsiTheme="majorHAnsi" w:cstheme="majorHAnsi"/>
          <w:sz w:val="28"/>
          <w:szCs w:val="28"/>
        </w:rPr>
        <w:t xml:space="preserve">Để quyết định tình trạng của người tham gia bảo hiểm, Thu nhập hàng tháng tiêu chuẩn, các khoản đóng hoặc chế độ hưởng, </w:t>
      </w:r>
      <w:r w:rsidR="003C6BB7">
        <w:rPr>
          <w:rFonts w:asciiTheme="majorHAnsi" w:eastAsia="Arial" w:hAnsiTheme="majorHAnsi" w:cstheme="majorHAnsi"/>
          <w:sz w:val="28"/>
          <w:szCs w:val="28"/>
        </w:rPr>
        <w:t>..</w:t>
      </w:r>
      <w:r w:rsidRPr="002A6C51">
        <w:rPr>
          <w:rFonts w:asciiTheme="majorHAnsi" w:eastAsia="Arial" w:hAnsiTheme="majorHAnsi" w:cstheme="majorHAnsi"/>
          <w:sz w:val="28"/>
          <w:szCs w:val="28"/>
        </w:rPr>
        <w:t>. hoặc để xác nhận tình trạng đạt điều kiện, thay đổi điều kiện, gián đoạn hoặc đình chỉ</w:t>
      </w:r>
      <w:r w:rsidR="003C6BB7">
        <w:rPr>
          <w:rFonts w:asciiTheme="majorHAnsi" w:eastAsia="Arial" w:hAnsiTheme="majorHAnsi" w:cstheme="majorHAnsi"/>
          <w:sz w:val="28"/>
          <w:szCs w:val="28"/>
        </w:rPr>
        <w:t>,…</w:t>
      </w:r>
      <w:r w:rsidRPr="002A6C51">
        <w:rPr>
          <w:rFonts w:asciiTheme="majorHAnsi" w:eastAsia="Arial" w:hAnsiTheme="majorHAnsi" w:cstheme="majorHAnsi"/>
          <w:sz w:val="28"/>
          <w:szCs w:val="28"/>
        </w:rPr>
        <w:t xml:space="preserve"> việc hưởng chế độ bảo hiểm, thì Cục Hưu trí quốc dân, trong trường hợp cần thiết, có thể yêu cầu người sử dụng lao động, người đang tham gia hoặc đã tham gia bảo hiểm, hoặc đối tượng hưởng, nộp các giấy tờ cần thiết và các tài liệu khác có liên quan đến thu nhập và tài sản, hoặc Cục có thể cử nhân viên đến thăm nơi làm việc hoặc những nơi khác để tìm kiếm tài liệ</w:t>
      </w:r>
      <w:r w:rsidR="003C6BB7">
        <w:rPr>
          <w:rFonts w:asciiTheme="majorHAnsi" w:eastAsia="Arial" w:hAnsiTheme="majorHAnsi" w:cstheme="majorHAnsi"/>
          <w:sz w:val="28"/>
          <w:szCs w:val="28"/>
        </w:rPr>
        <w:t xml:space="preserve">u,… </w:t>
      </w:r>
      <w:r w:rsidRPr="002A6C51">
        <w:rPr>
          <w:rFonts w:asciiTheme="majorHAnsi" w:eastAsia="Arial" w:hAnsiTheme="majorHAnsi" w:cstheme="majorHAnsi"/>
          <w:sz w:val="28"/>
          <w:szCs w:val="28"/>
        </w:rPr>
        <w:t>hoặc thẩm vấn những người có liên quan các câu hỏi cần thiết.</w:t>
      </w:r>
      <w:r w:rsidR="003C6BB7">
        <w:rPr>
          <w:rFonts w:asciiTheme="majorHAnsi" w:eastAsia="Arial" w:hAnsiTheme="majorHAnsi" w:cstheme="majorHAnsi"/>
          <w:sz w:val="28"/>
          <w:szCs w:val="28"/>
        </w:rPr>
        <w:t xml:space="preserve"> </w:t>
      </w:r>
      <w:r w:rsidRPr="002A6C51">
        <w:rPr>
          <w:rFonts w:asciiTheme="majorHAnsi" w:eastAsia="Arial" w:hAnsiTheme="majorHAnsi" w:cstheme="majorHAnsi"/>
          <w:sz w:val="28"/>
          <w:szCs w:val="28"/>
        </w:rPr>
        <w:t>Nội dung, thủ tục, và các phương pháp điều tra hoặc thẩm vấn chiểu quy định, ngoài ra sẽ chiểu theo “Đạo Luật Khung về Điều tra Hành chính”.</w:t>
      </w:r>
    </w:p>
    <w:p w:rsidR="002A6C51" w:rsidRPr="002A6C51" w:rsidRDefault="002A6C51" w:rsidP="002A6C51">
      <w:pPr>
        <w:spacing w:before="120" w:after="0"/>
        <w:ind w:firstLine="720"/>
        <w:jc w:val="both"/>
        <w:rPr>
          <w:rFonts w:asciiTheme="majorHAnsi" w:eastAsia="Arial" w:hAnsiTheme="majorHAnsi" w:cstheme="majorHAnsi"/>
          <w:sz w:val="28"/>
          <w:szCs w:val="28"/>
        </w:rPr>
      </w:pPr>
      <w:r w:rsidRPr="002A6C51">
        <w:rPr>
          <w:rFonts w:asciiTheme="majorHAnsi" w:eastAsia="Arial" w:hAnsiTheme="majorHAnsi" w:cstheme="majorHAnsi"/>
          <w:sz w:val="28"/>
          <w:szCs w:val="28"/>
        </w:rPr>
        <w:t>Cục Hưu trí quốc dân lập kế hoạch điều tra hàng năm để xác minh sự phù hợp của đối tượng hưởng và các khoản chế độ trả cho đối tượng hưởng và triển khai một kế hoạch điều tra về thực trạng các vấn đề tử vong, li hôn và duy trì sinh kế và các vấn đề tương tự như vậy của đối tượng hưởng.</w:t>
      </w:r>
    </w:p>
    <w:p w:rsidR="002A6C51" w:rsidRPr="002A6C51" w:rsidRDefault="002A6C51" w:rsidP="002A6C51">
      <w:pPr>
        <w:spacing w:before="120" w:after="0"/>
        <w:ind w:firstLine="720"/>
        <w:jc w:val="both"/>
        <w:rPr>
          <w:rFonts w:asciiTheme="majorHAnsi" w:eastAsia="Arial" w:hAnsiTheme="majorHAnsi" w:cstheme="majorHAnsi"/>
          <w:sz w:val="28"/>
          <w:szCs w:val="28"/>
        </w:rPr>
      </w:pPr>
      <w:r w:rsidRPr="002A6C51">
        <w:rPr>
          <w:rFonts w:asciiTheme="majorHAnsi" w:eastAsia="Arial" w:hAnsiTheme="majorHAnsi" w:cstheme="majorHAnsi"/>
          <w:sz w:val="28"/>
          <w:szCs w:val="28"/>
        </w:rPr>
        <w:t>Cục Hưu trí quốc dân nộp kế hoạch điều tra và kết quả điều trả cho Bộ</w:t>
      </w:r>
      <w:r w:rsidR="003C6BB7">
        <w:rPr>
          <w:rFonts w:asciiTheme="majorHAnsi" w:eastAsia="Arial" w:hAnsiTheme="majorHAnsi" w:cstheme="majorHAnsi"/>
          <w:sz w:val="28"/>
          <w:szCs w:val="28"/>
        </w:rPr>
        <w:t xml:space="preserve"> t</w:t>
      </w:r>
      <w:r w:rsidRPr="002A6C51">
        <w:rPr>
          <w:rFonts w:asciiTheme="majorHAnsi" w:eastAsia="Arial" w:hAnsiTheme="majorHAnsi" w:cstheme="majorHAnsi"/>
          <w:sz w:val="28"/>
          <w:szCs w:val="28"/>
        </w:rPr>
        <w:t>rưởng Bộ Y tế và Phúc lợi. Cục Hưu trí quốc dân có thể dừng hoặc đình chỉ việc chi trả chế độ cho một người hưởng nếu đối tượng hưởng đó, vợ/chồng của người đó, hoặc những người có liên quan từ chối, phá vỡ, hoặc trốn tránh cuộc điều tra quá hai lần. Trong trường hợp này, Cục Hưu trí quốc dân sẽ thông báo bằng thư nêu rõ lí do chi tiết kèm theo bằng chứng bằng thư cho đối tượng hưởng đó.</w:t>
      </w:r>
    </w:p>
    <w:p w:rsidR="002A6C51" w:rsidRPr="002A6C51" w:rsidRDefault="002A6C51" w:rsidP="002A6C51">
      <w:pPr>
        <w:spacing w:before="120" w:after="0"/>
        <w:ind w:firstLine="720"/>
        <w:jc w:val="both"/>
        <w:rPr>
          <w:rFonts w:asciiTheme="majorHAnsi" w:eastAsia="Arial" w:hAnsiTheme="majorHAnsi" w:cstheme="majorHAnsi"/>
          <w:sz w:val="28"/>
          <w:szCs w:val="28"/>
        </w:rPr>
      </w:pPr>
      <w:r w:rsidRPr="002A6C51">
        <w:rPr>
          <w:rFonts w:asciiTheme="majorHAnsi" w:eastAsia="Arial" w:hAnsiTheme="majorHAnsi" w:cstheme="majorHAnsi"/>
          <w:sz w:val="28"/>
          <w:szCs w:val="28"/>
        </w:rPr>
        <w:t xml:space="preserve">Bộ </w:t>
      </w:r>
      <w:r w:rsidR="003C6BB7">
        <w:rPr>
          <w:rFonts w:asciiTheme="majorHAnsi" w:eastAsia="Arial" w:hAnsiTheme="majorHAnsi" w:cstheme="majorHAnsi"/>
          <w:sz w:val="28"/>
          <w:szCs w:val="28"/>
        </w:rPr>
        <w:t>t</w:t>
      </w:r>
      <w:r w:rsidRPr="002A6C51">
        <w:rPr>
          <w:rFonts w:asciiTheme="majorHAnsi" w:eastAsia="Arial" w:hAnsiTheme="majorHAnsi" w:cstheme="majorHAnsi"/>
          <w:sz w:val="28"/>
          <w:szCs w:val="28"/>
        </w:rPr>
        <w:t xml:space="preserve">rưởng Bộ Y tế và Phúc lợi, theo quy định tại Sắc lệnh của Tổng thống, có thể đề nghị Chính phủ và chính quyền địa phương các cấp, cũng như người đứng đầu của một thực thể pháp lý, một tổ chức, hoặc một đơn vị có tư cách pháp nhân hoàn thiện thông tin để xác nhận sự ủng hộ đối với việc đóng bảo hiểm. </w:t>
      </w:r>
      <w:r w:rsidRPr="002A6C51">
        <w:rPr>
          <w:rFonts w:asciiTheme="majorHAnsi" w:eastAsia="Arial" w:hAnsiTheme="majorHAnsi" w:cstheme="majorHAnsi"/>
          <w:sz w:val="28"/>
          <w:szCs w:val="28"/>
        </w:rPr>
        <w:lastRenderedPageBreak/>
        <w:t xml:space="preserve">Trong trường hợp đó, Chính phủ và chính quyền địa phương các cấp, cũng như người đứng đầu của một thực thể pháp lý, một tổ chức, hoặc một đơn vị có tư cách pháp nhân được yêu cầu cung cấp thông tin để xác nhận sự ủng hộ đối với việc đóng bảo hiểm sẽ tuẩn thủ theo yêu cầu trừ phi có lý do chính đáng để không làm như vậy. </w:t>
      </w:r>
    </w:p>
    <w:p w:rsidR="002A6C51" w:rsidRPr="002A6C51" w:rsidRDefault="002A6C51" w:rsidP="002A6C51">
      <w:pPr>
        <w:spacing w:before="120" w:after="0"/>
        <w:ind w:firstLine="720"/>
        <w:jc w:val="both"/>
        <w:rPr>
          <w:rFonts w:asciiTheme="majorHAnsi" w:eastAsia="Arial" w:hAnsiTheme="majorHAnsi" w:cstheme="majorHAnsi"/>
          <w:sz w:val="28"/>
          <w:szCs w:val="28"/>
        </w:rPr>
      </w:pPr>
      <w:r w:rsidRPr="002A6C51">
        <w:rPr>
          <w:rFonts w:asciiTheme="majorHAnsi" w:eastAsia="Arial" w:hAnsiTheme="majorHAnsi" w:cstheme="majorHAnsi"/>
          <w:sz w:val="28"/>
          <w:szCs w:val="28"/>
        </w:rPr>
        <w:t xml:space="preserve">Cục Hưu trí quốc dân, theo quy định tại Sắc lệnh Tổng thống, có thể đề nghị Chính phủ và chính quyền địa phương các cấp, cũng như người đứng đầu của một thực thể pháp lý, một tổ chức, hoặc một đơn vị có tư cách pháp nhân cung cấp cho Cục Hưu trí quốc dân các các thông tin cần thiết như đăng ký hộ tịch, quan hệ với gia đình, thông tin thuế quốc gia, thuế địa phương, đất đai, nhà xưởng, bảo hiểm y tế, đăng ký suy giảm khả năng lao động. Trong trường hợp đó, Chính phủ và chính quyền địa phương các cấp, cũng như người đứng đầu của thực thể pháp lý, cơ quan hoặc tổ chức có tư cách pháp nhân đã được yêu cầu nộp các giấy tờ tài liệu phải tuân thủ thực hiện các đề nghị đó trừ phi có một lý do chính đáng để không làm như vậy. </w:t>
      </w:r>
    </w:p>
    <w:p w:rsidR="005B2580" w:rsidRDefault="002A6C51" w:rsidP="002A6C51">
      <w:pPr>
        <w:spacing w:before="120" w:after="0"/>
        <w:ind w:firstLine="720"/>
        <w:jc w:val="both"/>
        <w:rPr>
          <w:rFonts w:asciiTheme="majorHAnsi" w:eastAsia="Arial" w:hAnsiTheme="majorHAnsi" w:cstheme="majorHAnsi"/>
          <w:sz w:val="28"/>
          <w:szCs w:val="28"/>
        </w:rPr>
      </w:pPr>
      <w:r w:rsidRPr="002A6C51">
        <w:rPr>
          <w:rFonts w:asciiTheme="majorHAnsi" w:eastAsia="Arial" w:hAnsiTheme="majorHAnsi" w:cstheme="majorHAnsi"/>
          <w:sz w:val="28"/>
          <w:szCs w:val="28"/>
        </w:rPr>
        <w:t>Cục Hưu trí quốc dân có thể đề nghị cơ sở y tế, trong trường hợp cần thiết, được xem các dữ liệu hoặc được cung cấp bản sao dữ liệu liên quan đến điều trị y tế của một người tham gia bảo hiểm hoặc một người đã từng tham gia bảo hiểm theo “Đạo Luật Dịch vụ Y tế” với sự đồng ý của đối tượng hiện đang tham gia bảo hiểm hoặc đã từng tham gia bảo hiểm trước đây (bao gồm cả thân nhân của những đối tượng trong trường hợp người đang tham gia bảo hiểm hoặc đã từng tham gia bảo hiểm tử vong), như quy định tại Quyết định của Bộ Trưởng Bộ Y tế và Phúc lợi, khi đánh giá số tiền thanh toán trong chế độ Trợ cấp cho người phụ thuộc, Trợ cấp suy giảm khả năng lao độ</w:t>
      </w:r>
      <w:r w:rsidR="003C6BB7">
        <w:rPr>
          <w:rFonts w:asciiTheme="majorHAnsi" w:eastAsia="Arial" w:hAnsiTheme="majorHAnsi" w:cstheme="majorHAnsi"/>
          <w:sz w:val="28"/>
          <w:szCs w:val="28"/>
        </w:rPr>
        <w:t>ng</w:t>
      </w:r>
      <w:r w:rsidRPr="002A6C51">
        <w:rPr>
          <w:rFonts w:asciiTheme="majorHAnsi" w:eastAsia="Arial" w:hAnsiTheme="majorHAnsi" w:cstheme="majorHAnsi"/>
          <w:sz w:val="28"/>
          <w:szCs w:val="28"/>
        </w:rPr>
        <w:t xml:space="preserve"> và Trợ cấp Tử tuất. Trong trường hợp này, các cơ sở y tế tuân thủ các đề nghị đã nêu trừ phí có một lí do đặc biệt để không làm như vậ</w:t>
      </w:r>
      <w:r w:rsidR="003C6BB7">
        <w:rPr>
          <w:rFonts w:asciiTheme="majorHAnsi" w:eastAsia="Arial" w:hAnsiTheme="majorHAnsi" w:cstheme="majorHAnsi"/>
          <w:sz w:val="28"/>
          <w:szCs w:val="28"/>
        </w:rPr>
        <w:t xml:space="preserve">y. </w:t>
      </w:r>
    </w:p>
    <w:p w:rsidR="002A6C51" w:rsidRPr="002A6C51" w:rsidRDefault="002A6C51" w:rsidP="002A6C51">
      <w:pPr>
        <w:spacing w:before="120" w:after="0"/>
        <w:ind w:firstLine="720"/>
        <w:jc w:val="both"/>
        <w:rPr>
          <w:rFonts w:asciiTheme="majorHAnsi" w:eastAsia="Arial" w:hAnsiTheme="majorHAnsi" w:cstheme="majorHAnsi"/>
          <w:sz w:val="28"/>
          <w:szCs w:val="28"/>
        </w:rPr>
      </w:pPr>
      <w:r w:rsidRPr="002A6C51">
        <w:rPr>
          <w:rFonts w:asciiTheme="majorHAnsi" w:eastAsia="Arial" w:hAnsiTheme="majorHAnsi" w:cstheme="majorHAnsi"/>
          <w:sz w:val="28"/>
          <w:szCs w:val="28"/>
        </w:rPr>
        <w:t>Bộ</w:t>
      </w:r>
      <w:r w:rsidR="003C6BB7">
        <w:rPr>
          <w:rFonts w:asciiTheme="majorHAnsi" w:eastAsia="Arial" w:hAnsiTheme="majorHAnsi" w:cstheme="majorHAnsi"/>
          <w:sz w:val="28"/>
          <w:szCs w:val="28"/>
        </w:rPr>
        <w:t xml:space="preserve"> t</w:t>
      </w:r>
      <w:r w:rsidRPr="002A6C51">
        <w:rPr>
          <w:rFonts w:asciiTheme="majorHAnsi" w:eastAsia="Arial" w:hAnsiTheme="majorHAnsi" w:cstheme="majorHAnsi"/>
          <w:sz w:val="28"/>
          <w:szCs w:val="28"/>
        </w:rPr>
        <w:t>rưởng Bộ Y tế và Phúc lợi và Cục Hưu trí quốc dân có thể sử dụng hệ thống thông tin theo “Đạo Luật các dịch vụ phúc lợi xã hội” để xác minh các tài liệu.</w:t>
      </w:r>
      <w:r w:rsidR="00C36ADE">
        <w:rPr>
          <w:rFonts w:asciiTheme="majorHAnsi" w:eastAsia="Arial" w:hAnsiTheme="majorHAnsi" w:cstheme="majorHAnsi"/>
          <w:sz w:val="28"/>
          <w:szCs w:val="28"/>
        </w:rPr>
        <w:t xml:space="preserve"> </w:t>
      </w:r>
      <w:r w:rsidRPr="002A6C51">
        <w:rPr>
          <w:rFonts w:asciiTheme="majorHAnsi" w:eastAsia="Arial" w:hAnsiTheme="majorHAnsi" w:cstheme="majorHAnsi"/>
          <w:sz w:val="28"/>
          <w:szCs w:val="28"/>
        </w:rPr>
        <w:t>Liên quan đến các tài liệu được cung cấp cho Bộ</w:t>
      </w:r>
      <w:r w:rsidR="003C6BB7">
        <w:rPr>
          <w:rFonts w:asciiTheme="majorHAnsi" w:eastAsia="Arial" w:hAnsiTheme="majorHAnsi" w:cstheme="majorHAnsi"/>
          <w:sz w:val="28"/>
          <w:szCs w:val="28"/>
        </w:rPr>
        <w:t xml:space="preserve"> t</w:t>
      </w:r>
      <w:r w:rsidRPr="002A6C51">
        <w:rPr>
          <w:rFonts w:asciiTheme="majorHAnsi" w:eastAsia="Arial" w:hAnsiTheme="majorHAnsi" w:cstheme="majorHAnsi"/>
          <w:sz w:val="28"/>
          <w:szCs w:val="28"/>
        </w:rPr>
        <w:t>rưởng Bộ Y tế và Phúc lợi và Cục Hưu trí quốc dân, các loại lệ</w:t>
      </w:r>
      <w:r w:rsidR="003C6BB7">
        <w:rPr>
          <w:rFonts w:asciiTheme="majorHAnsi" w:eastAsia="Arial" w:hAnsiTheme="majorHAnsi" w:cstheme="majorHAnsi"/>
          <w:sz w:val="28"/>
          <w:szCs w:val="28"/>
        </w:rPr>
        <w:t xml:space="preserve"> phí và phí,…</w:t>
      </w:r>
      <w:r w:rsidRPr="002A6C51">
        <w:rPr>
          <w:rFonts w:asciiTheme="majorHAnsi" w:eastAsia="Arial" w:hAnsiTheme="majorHAnsi" w:cstheme="majorHAnsi"/>
          <w:sz w:val="28"/>
          <w:szCs w:val="28"/>
        </w:rPr>
        <w:t xml:space="preserve"> liên quan đến phục vụ việc sử dụng của họ đều được miễn.</w:t>
      </w:r>
    </w:p>
    <w:p w:rsidR="005B2580" w:rsidRDefault="002A6C51" w:rsidP="002A6C51">
      <w:pPr>
        <w:spacing w:before="120" w:after="0"/>
        <w:ind w:firstLine="720"/>
        <w:jc w:val="both"/>
        <w:rPr>
          <w:rFonts w:asciiTheme="majorHAnsi" w:eastAsia="Arial" w:hAnsiTheme="majorHAnsi" w:cstheme="majorHAnsi"/>
          <w:sz w:val="28"/>
          <w:szCs w:val="28"/>
        </w:rPr>
      </w:pPr>
      <w:r w:rsidRPr="002A6C51">
        <w:rPr>
          <w:rFonts w:asciiTheme="majorHAnsi" w:eastAsia="Arial" w:hAnsiTheme="majorHAnsi" w:cstheme="majorHAnsi"/>
          <w:sz w:val="28"/>
          <w:szCs w:val="28"/>
        </w:rPr>
        <w:t>Bất kể ai đang hoặc đã từng tham gia vào Cục Hưu trí quốc dân sẽ không công bố bất kỳ thông tin mật nào mà người đó có được trong quá trình thực thi nhiệm vụ.</w:t>
      </w:r>
      <w:r w:rsidR="00C36ADE">
        <w:rPr>
          <w:rFonts w:asciiTheme="majorHAnsi" w:eastAsia="Arial" w:hAnsiTheme="majorHAnsi" w:cstheme="majorHAnsi"/>
          <w:sz w:val="28"/>
          <w:szCs w:val="28"/>
        </w:rPr>
        <w:t xml:space="preserve"> </w:t>
      </w:r>
    </w:p>
    <w:p w:rsidR="002A6C51" w:rsidRDefault="002A6C51" w:rsidP="002A6C51">
      <w:pPr>
        <w:spacing w:before="120" w:after="0"/>
        <w:ind w:firstLine="720"/>
        <w:jc w:val="both"/>
        <w:rPr>
          <w:rFonts w:asciiTheme="majorHAnsi" w:eastAsia="Arial" w:hAnsiTheme="majorHAnsi" w:cstheme="majorHAnsi"/>
          <w:sz w:val="28"/>
          <w:szCs w:val="28"/>
        </w:rPr>
      </w:pPr>
      <w:r w:rsidRPr="002A6C51">
        <w:rPr>
          <w:rFonts w:asciiTheme="majorHAnsi" w:eastAsia="Arial" w:hAnsiTheme="majorHAnsi" w:cstheme="majorHAnsi"/>
          <w:sz w:val="28"/>
          <w:szCs w:val="28"/>
        </w:rPr>
        <w:t xml:space="preserve">Nếu Cục Hưu trí quốc dân phát hiện được trường hợp khai thấp hơn so với thu nhập thực tế hoặc tránh thuế trong báo cáo thu nhập hàng tháng, </w:t>
      </w:r>
      <w:r w:rsidR="003C6BB7">
        <w:rPr>
          <w:rFonts w:asciiTheme="majorHAnsi" w:eastAsia="Arial" w:hAnsiTheme="majorHAnsi" w:cstheme="majorHAnsi"/>
          <w:sz w:val="28"/>
          <w:szCs w:val="28"/>
        </w:rPr>
        <w:t>…</w:t>
      </w:r>
      <w:r w:rsidRPr="002A6C51">
        <w:rPr>
          <w:rFonts w:asciiTheme="majorHAnsi" w:eastAsia="Arial" w:hAnsiTheme="majorHAnsi" w:cstheme="majorHAnsi"/>
          <w:sz w:val="28"/>
          <w:szCs w:val="28"/>
        </w:rPr>
        <w:t xml:space="preserve"> thì Cục có thể báo cáo trường hợp này lên Bộ</w:t>
      </w:r>
      <w:r w:rsidR="003C6BB7">
        <w:rPr>
          <w:rFonts w:asciiTheme="majorHAnsi" w:eastAsia="Arial" w:hAnsiTheme="majorHAnsi" w:cstheme="majorHAnsi"/>
          <w:sz w:val="28"/>
          <w:szCs w:val="28"/>
        </w:rPr>
        <w:t xml:space="preserve"> t</w:t>
      </w:r>
      <w:r w:rsidRPr="002A6C51">
        <w:rPr>
          <w:rFonts w:asciiTheme="majorHAnsi" w:eastAsia="Arial" w:hAnsiTheme="majorHAnsi" w:cstheme="majorHAnsi"/>
          <w:sz w:val="28"/>
          <w:szCs w:val="28"/>
        </w:rPr>
        <w:t xml:space="preserve">rưởng </w:t>
      </w:r>
      <w:r w:rsidR="003C6BB7">
        <w:rPr>
          <w:rFonts w:asciiTheme="majorHAnsi" w:eastAsia="Arial" w:hAnsiTheme="majorHAnsi" w:cstheme="majorHAnsi"/>
          <w:sz w:val="28"/>
          <w:szCs w:val="28"/>
        </w:rPr>
        <w:t xml:space="preserve">Bộ </w:t>
      </w:r>
      <w:r w:rsidRPr="002A6C51">
        <w:rPr>
          <w:rFonts w:asciiTheme="majorHAnsi" w:eastAsia="Arial" w:hAnsiTheme="majorHAnsi" w:cstheme="majorHAnsi"/>
          <w:sz w:val="28"/>
          <w:szCs w:val="28"/>
        </w:rPr>
        <w:t xml:space="preserve">Y tế và Phúc lợi và thông báo </w:t>
      </w:r>
      <w:r w:rsidRPr="002A6C51">
        <w:rPr>
          <w:rFonts w:asciiTheme="majorHAnsi" w:eastAsia="Arial" w:hAnsiTheme="majorHAnsi" w:cstheme="majorHAnsi"/>
          <w:sz w:val="28"/>
          <w:szCs w:val="28"/>
        </w:rPr>
        <w:lastRenderedPageBreak/>
        <w:t>bằng văn bản cho Cụ</w:t>
      </w:r>
      <w:r w:rsidR="003C6BB7">
        <w:rPr>
          <w:rFonts w:asciiTheme="majorHAnsi" w:eastAsia="Arial" w:hAnsiTheme="majorHAnsi" w:cstheme="majorHAnsi"/>
          <w:sz w:val="28"/>
          <w:szCs w:val="28"/>
        </w:rPr>
        <w:t>c t</w:t>
      </w:r>
      <w:r w:rsidRPr="002A6C51">
        <w:rPr>
          <w:rFonts w:asciiTheme="majorHAnsi" w:eastAsia="Arial" w:hAnsiTheme="majorHAnsi" w:cstheme="majorHAnsi"/>
          <w:sz w:val="28"/>
          <w:szCs w:val="28"/>
        </w:rPr>
        <w:t>rưởng Cục Thuế quốc gia về số liệu có nghi vấn khai thấp thu nhập hoặc tránh thuế. Nếu Cụ</w:t>
      </w:r>
      <w:r w:rsidR="003C6BB7">
        <w:rPr>
          <w:rFonts w:asciiTheme="majorHAnsi" w:eastAsia="Arial" w:hAnsiTheme="majorHAnsi" w:cstheme="majorHAnsi"/>
          <w:sz w:val="28"/>
          <w:szCs w:val="28"/>
        </w:rPr>
        <w:t>c t</w:t>
      </w:r>
      <w:r w:rsidRPr="002A6C51">
        <w:rPr>
          <w:rFonts w:asciiTheme="majorHAnsi" w:eastAsia="Arial" w:hAnsiTheme="majorHAnsi" w:cstheme="majorHAnsi"/>
          <w:sz w:val="28"/>
          <w:szCs w:val="28"/>
        </w:rPr>
        <w:t>rưởng Cục Thuế quốc gia, người đã nhận được thông báo chi tiết như nêu trong Khoản 1, tiến hành một cuộc kiểm toán thuế chiểu theo pháp luật có liên quan bao gồm “Đạo Luật khung về các khoản thuế quố</w:t>
      </w:r>
      <w:r w:rsidR="00C36ADE">
        <w:rPr>
          <w:rFonts w:asciiTheme="majorHAnsi" w:eastAsia="Arial" w:hAnsiTheme="majorHAnsi" w:cstheme="majorHAnsi"/>
          <w:sz w:val="28"/>
          <w:szCs w:val="28"/>
        </w:rPr>
        <w:t>c gia,…</w:t>
      </w:r>
      <w:r w:rsidRPr="002A6C51">
        <w:rPr>
          <w:rFonts w:asciiTheme="majorHAnsi" w:eastAsia="Arial" w:hAnsiTheme="majorHAnsi" w:cstheme="majorHAnsi"/>
          <w:sz w:val="28"/>
          <w:szCs w:val="28"/>
        </w:rPr>
        <w:t>”, thì người đó sẽ thông báo cho Cục Hưu trí quốc dân về kết quả kiểm toán về khoản thu nhập đang trong nghi vấn.</w:t>
      </w:r>
    </w:p>
    <w:p w:rsidR="008D4E40" w:rsidRPr="002A35A0" w:rsidRDefault="008D4E40" w:rsidP="008D4E40">
      <w:pPr>
        <w:spacing w:before="120" w:after="0"/>
        <w:ind w:firstLine="720"/>
        <w:jc w:val="both"/>
        <w:rPr>
          <w:rFonts w:ascii="Times New Roman" w:hAnsi="Times New Roman" w:cs="Times New Roman"/>
          <w:b/>
          <w:sz w:val="28"/>
          <w:lang w:val="en-GB"/>
        </w:rPr>
      </w:pPr>
      <w:r w:rsidRPr="002A35A0">
        <w:rPr>
          <w:rFonts w:ascii="Times New Roman" w:hAnsi="Times New Roman" w:cs="Times New Roman"/>
          <w:b/>
          <w:sz w:val="28"/>
          <w:lang w:val="en-GB"/>
        </w:rPr>
        <w:t>4. Một số kinh nghiệm chính rút ra liên quan chế tài nhằm giảm tình trạng chậm đóng, trốn đóng BHXH</w:t>
      </w:r>
    </w:p>
    <w:p w:rsidR="0069571C" w:rsidRPr="002A35A0" w:rsidRDefault="0069571C" w:rsidP="00987D4B">
      <w:pPr>
        <w:shd w:val="clear" w:color="auto" w:fill="FFFFFF"/>
        <w:spacing w:before="120" w:after="0"/>
        <w:ind w:firstLine="720"/>
        <w:jc w:val="both"/>
        <w:rPr>
          <w:rFonts w:asciiTheme="majorHAnsi" w:eastAsia="Times New Roman" w:hAnsiTheme="majorHAnsi" w:cstheme="majorHAnsi"/>
          <w:sz w:val="28"/>
          <w:szCs w:val="28"/>
          <w:lang w:eastAsia="vi-VN"/>
        </w:rPr>
      </w:pPr>
      <w:r w:rsidRPr="002A35A0">
        <w:rPr>
          <w:rFonts w:asciiTheme="majorHAnsi" w:eastAsia="Times New Roman" w:hAnsiTheme="majorHAnsi" w:cstheme="majorHAnsi"/>
          <w:sz w:val="28"/>
          <w:szCs w:val="28"/>
          <w:lang w:eastAsia="vi-VN"/>
        </w:rPr>
        <w:t xml:space="preserve">Để giảm tình trạng chậm đóng, trốn đóng BHXH, cần có quy định và trách nhiệm thực thi nghiêm túc của cả 4 nhóm đối tượng: (1) người lao động và người dân nói chung; (2) người sử dụng lao động; (3) cơ quan tổ chức thực hiện pháp luật. </w:t>
      </w:r>
    </w:p>
    <w:p w:rsidR="00987D4B" w:rsidRPr="002A35A0" w:rsidRDefault="00987D4B" w:rsidP="00987D4B">
      <w:pPr>
        <w:shd w:val="clear" w:color="auto" w:fill="FFFFFF"/>
        <w:spacing w:before="120" w:after="0"/>
        <w:ind w:firstLine="720"/>
        <w:jc w:val="both"/>
        <w:rPr>
          <w:rFonts w:asciiTheme="majorHAnsi" w:eastAsia="Times New Roman" w:hAnsiTheme="majorHAnsi" w:cstheme="majorHAnsi"/>
          <w:sz w:val="28"/>
          <w:szCs w:val="28"/>
          <w:lang w:eastAsia="vi-VN"/>
        </w:rPr>
      </w:pPr>
      <w:r w:rsidRPr="002A35A0">
        <w:rPr>
          <w:rFonts w:asciiTheme="majorHAnsi" w:eastAsia="Times New Roman" w:hAnsiTheme="majorHAnsi" w:cstheme="majorHAnsi"/>
          <w:sz w:val="28"/>
          <w:szCs w:val="28"/>
          <w:lang w:eastAsia="vi-VN"/>
        </w:rPr>
        <w:t xml:space="preserve">(i) </w:t>
      </w:r>
      <w:r w:rsidR="0069571C" w:rsidRPr="002A35A0">
        <w:rPr>
          <w:rFonts w:asciiTheme="majorHAnsi" w:eastAsia="Times New Roman" w:hAnsiTheme="majorHAnsi" w:cstheme="majorHAnsi"/>
          <w:sz w:val="28"/>
          <w:szCs w:val="28"/>
          <w:lang w:eastAsia="vi-VN"/>
        </w:rPr>
        <w:t xml:space="preserve">Với người lao động, pháp luật cần xem xét phân loại </w:t>
      </w:r>
      <w:r w:rsidRPr="002A35A0">
        <w:rPr>
          <w:rFonts w:asciiTheme="majorHAnsi" w:eastAsia="Times New Roman" w:hAnsiTheme="majorHAnsi" w:cstheme="majorHAnsi"/>
          <w:sz w:val="28"/>
          <w:szCs w:val="28"/>
          <w:lang w:eastAsia="vi-VN"/>
        </w:rPr>
        <w:t xml:space="preserve">và quy định rõ các hình thức xử phạt và cách thức cơ quan thẩm quyền có thể xử lý các trường hợp </w:t>
      </w:r>
      <w:r w:rsidRPr="002A35A0">
        <w:rPr>
          <w:rFonts w:asciiTheme="majorHAnsi" w:eastAsia="Times New Roman" w:hAnsiTheme="majorHAnsi" w:cstheme="majorHAnsi"/>
          <w:sz w:val="28"/>
          <w:szCs w:val="28"/>
          <w:lang w:val="vi-VN" w:eastAsia="vi-VN"/>
        </w:rPr>
        <w:t xml:space="preserve">người sử dụng lao động </w:t>
      </w:r>
      <w:r w:rsidRPr="002A35A0">
        <w:rPr>
          <w:rFonts w:asciiTheme="majorHAnsi" w:eastAsia="Times New Roman" w:hAnsiTheme="majorHAnsi" w:cstheme="majorHAnsi"/>
          <w:sz w:val="28"/>
          <w:szCs w:val="28"/>
          <w:lang w:eastAsia="vi-VN"/>
        </w:rPr>
        <w:t>chậm đóng, trốn đóng BHXH theo các mức độ vi phạm tăng dần, từ chậm nộp đến cố tình vi phạ</w:t>
      </w:r>
      <w:r w:rsidR="0069571C" w:rsidRPr="002A35A0">
        <w:rPr>
          <w:rFonts w:asciiTheme="majorHAnsi" w:eastAsia="Times New Roman" w:hAnsiTheme="majorHAnsi" w:cstheme="majorHAnsi"/>
          <w:sz w:val="28"/>
          <w:szCs w:val="28"/>
          <w:lang w:eastAsia="vi-VN"/>
        </w:rPr>
        <w:t xml:space="preserve">m. </w:t>
      </w:r>
    </w:p>
    <w:p w:rsidR="00987D4B" w:rsidRPr="002A35A0" w:rsidRDefault="00987D4B" w:rsidP="00987D4B">
      <w:pPr>
        <w:shd w:val="clear" w:color="auto" w:fill="FFFFFF"/>
        <w:spacing w:before="120" w:after="0"/>
        <w:ind w:firstLine="720"/>
        <w:jc w:val="both"/>
        <w:rPr>
          <w:rFonts w:asciiTheme="majorHAnsi" w:eastAsia="Times New Roman" w:hAnsiTheme="majorHAnsi" w:cstheme="majorHAnsi"/>
          <w:sz w:val="28"/>
          <w:szCs w:val="28"/>
          <w:lang w:eastAsia="vi-VN"/>
        </w:rPr>
      </w:pPr>
      <w:r w:rsidRPr="002A35A0">
        <w:rPr>
          <w:rFonts w:asciiTheme="majorHAnsi" w:eastAsia="Times New Roman" w:hAnsiTheme="majorHAnsi" w:cstheme="majorHAnsi"/>
          <w:sz w:val="28"/>
          <w:szCs w:val="28"/>
          <w:lang w:eastAsia="vi-VN"/>
        </w:rPr>
        <w:t>(ii) P</w:t>
      </w:r>
      <w:r w:rsidR="00A86E72" w:rsidRPr="002A35A0">
        <w:rPr>
          <w:rFonts w:asciiTheme="majorHAnsi" w:eastAsia="Times New Roman" w:hAnsiTheme="majorHAnsi" w:cstheme="majorHAnsi"/>
          <w:sz w:val="28"/>
          <w:szCs w:val="28"/>
          <w:lang w:eastAsia="vi-VN"/>
        </w:rPr>
        <w:t xml:space="preserve">hối kết hợp chặt chẽ, hình thành cơ sở dữ liệu dùng chung và chia sẻ trách nhiệm giám sát, đảm bảo thực thi pháp luật </w:t>
      </w:r>
      <w:r w:rsidRPr="002A35A0">
        <w:rPr>
          <w:rFonts w:asciiTheme="majorHAnsi" w:eastAsia="Times New Roman" w:hAnsiTheme="majorHAnsi" w:cstheme="majorHAnsi"/>
          <w:sz w:val="28"/>
          <w:szCs w:val="28"/>
          <w:lang w:eastAsia="vi-VN"/>
        </w:rPr>
        <w:t>giữa cơ quan BHXH với các cơ quan có chức năng theo dõi, quản lý doanh nghiệp như thuế, ngân hàng, thậm chí cả Tòa án</w:t>
      </w:r>
      <w:r w:rsidR="00A86E72" w:rsidRPr="002A35A0">
        <w:rPr>
          <w:rFonts w:asciiTheme="majorHAnsi" w:eastAsia="Times New Roman" w:hAnsiTheme="majorHAnsi" w:cstheme="majorHAnsi"/>
          <w:sz w:val="28"/>
          <w:szCs w:val="28"/>
          <w:lang w:eastAsia="vi-VN"/>
        </w:rPr>
        <w:t xml:space="preserve">, </w:t>
      </w:r>
      <w:r w:rsidRPr="002A35A0">
        <w:rPr>
          <w:rFonts w:asciiTheme="majorHAnsi" w:eastAsia="Times New Roman" w:hAnsiTheme="majorHAnsi" w:cstheme="majorHAnsi"/>
          <w:sz w:val="28"/>
          <w:szCs w:val="28"/>
          <w:lang w:eastAsia="vi-VN"/>
        </w:rPr>
        <w:t xml:space="preserve">đảm bảo có các hình thức chế tài xử phạt phù hợp, đảm bảo giảm thiểu tình trạng vi phạm của doanh nghiệp. </w:t>
      </w:r>
    </w:p>
    <w:p w:rsidR="00010AA5" w:rsidRPr="002A35A0" w:rsidRDefault="00987D4B" w:rsidP="00010AA5">
      <w:pPr>
        <w:spacing w:before="120" w:after="0"/>
        <w:ind w:firstLine="720"/>
        <w:jc w:val="both"/>
        <w:rPr>
          <w:rFonts w:asciiTheme="majorHAnsi" w:hAnsiTheme="majorHAnsi" w:cstheme="majorHAnsi"/>
          <w:sz w:val="28"/>
          <w:szCs w:val="28"/>
          <w:lang w:val="vi-VN"/>
        </w:rPr>
      </w:pPr>
      <w:r w:rsidRPr="002A35A0">
        <w:rPr>
          <w:rFonts w:ascii="Times New Roman" w:hAnsi="Times New Roman"/>
          <w:sz w:val="28"/>
          <w:szCs w:val="28"/>
        </w:rPr>
        <w:t xml:space="preserve">(iii) Trao quyền giám sát thực thi chính sách BHXH trực tiếp cho người lao động. Khi người sử dụng lao động không đóng BHXH cho người lao động thì người lao động sẽ có cơ chế phản ánh với cơ quan Nhà nước. </w:t>
      </w:r>
      <w:r w:rsidRPr="002A35A0">
        <w:rPr>
          <w:rFonts w:asciiTheme="majorHAnsi" w:hAnsiTheme="majorHAnsi" w:cstheme="majorHAnsi"/>
          <w:sz w:val="28"/>
          <w:szCs w:val="28"/>
          <w:lang w:val="vi-VN"/>
        </w:rPr>
        <w:t xml:space="preserve">Khi người sử dụng lao động hoặc cá nhân cho rằng lợi ích hợp pháp của mình bị xâm phạm bởi cơ quan thu bảo hiểm xã hội thì có quyền yêu cầu xem xét lại hành chính hoặc khởi kiện hành chính </w:t>
      </w:r>
      <w:r w:rsidR="00010AA5" w:rsidRPr="002A35A0">
        <w:rPr>
          <w:rFonts w:asciiTheme="majorHAnsi" w:hAnsiTheme="majorHAnsi" w:cstheme="majorHAnsi"/>
          <w:sz w:val="28"/>
          <w:szCs w:val="28"/>
        </w:rPr>
        <w:t xml:space="preserve">, </w:t>
      </w:r>
      <w:r w:rsidR="00010AA5" w:rsidRPr="002A35A0">
        <w:rPr>
          <w:rFonts w:asciiTheme="majorHAnsi" w:hAnsiTheme="majorHAnsi" w:cstheme="majorHAnsi"/>
          <w:sz w:val="28"/>
          <w:szCs w:val="28"/>
          <w:lang w:val="vi-VN"/>
        </w:rPr>
        <w:t xml:space="preserve">có thể nộp đơn yêu cầu hòa giải, trọng tài hoặc khởi kiện tại tòa án theo quy định của pháp luật. </w:t>
      </w:r>
    </w:p>
    <w:p w:rsidR="0069571C" w:rsidRPr="002A35A0" w:rsidRDefault="0069571C" w:rsidP="0069571C">
      <w:pPr>
        <w:spacing w:before="120" w:after="0"/>
        <w:ind w:firstLine="720"/>
        <w:jc w:val="both"/>
        <w:rPr>
          <w:rFonts w:asciiTheme="majorHAnsi" w:hAnsiTheme="majorHAnsi" w:cstheme="majorHAnsi"/>
          <w:sz w:val="28"/>
          <w:szCs w:val="28"/>
          <w:lang w:val="vi-VN"/>
        </w:rPr>
      </w:pPr>
      <w:r w:rsidRPr="002A35A0">
        <w:rPr>
          <w:rFonts w:asciiTheme="majorHAnsi" w:eastAsia="Arial" w:hAnsiTheme="majorHAnsi" w:cstheme="majorHAnsi"/>
          <w:sz w:val="28"/>
          <w:szCs w:val="28"/>
        </w:rPr>
        <w:t xml:space="preserve">(v) Để hỗ trợ cho người tham gia bảo hiểm không bị vi phạm trong một số trường hợp đặc biệt, pháp luật một số nước có quy định rõ về điều khoản liên quan đến hoãn đóng BHXH và cho phép thanh toán </w:t>
      </w:r>
      <w:r w:rsidRPr="002A35A0">
        <w:rPr>
          <w:rFonts w:asciiTheme="majorHAnsi" w:hAnsiTheme="majorHAnsi" w:cstheme="majorHAnsi"/>
          <w:sz w:val="28"/>
          <w:szCs w:val="28"/>
          <w:lang w:val="vi-VN"/>
        </w:rPr>
        <w:t xml:space="preserve">khoản hoãn đóng </w:t>
      </w:r>
      <w:r w:rsidRPr="002A35A0">
        <w:rPr>
          <w:rFonts w:asciiTheme="majorHAnsi" w:hAnsiTheme="majorHAnsi" w:cstheme="majorHAnsi"/>
          <w:sz w:val="28"/>
          <w:szCs w:val="28"/>
        </w:rPr>
        <w:t xml:space="preserve">đó thành nhiều lần. Trong </w:t>
      </w:r>
      <w:r w:rsidRPr="002A35A0">
        <w:rPr>
          <w:rFonts w:asciiTheme="majorHAnsi" w:hAnsiTheme="majorHAnsi" w:cstheme="majorHAnsi"/>
          <w:sz w:val="28"/>
          <w:szCs w:val="28"/>
          <w:lang w:val="vi-VN"/>
        </w:rPr>
        <w:t xml:space="preserve">trường hợp một người tham gia đã đóng đủ số tiền hoãn đóng trước đó thì thời gian tương ứng với số tiền đã thanh toán sẽ được cộng vào thời gian tham gia bảo hiểm của người đó. </w:t>
      </w:r>
    </w:p>
    <w:p w:rsidR="00A74016" w:rsidRDefault="00010AA5" w:rsidP="00A74016">
      <w:pPr>
        <w:spacing w:before="120" w:after="0"/>
        <w:ind w:firstLine="720"/>
        <w:jc w:val="both"/>
        <w:rPr>
          <w:rFonts w:asciiTheme="majorHAnsi" w:hAnsiTheme="majorHAnsi" w:cstheme="majorHAnsi"/>
          <w:sz w:val="28"/>
          <w:szCs w:val="28"/>
        </w:rPr>
      </w:pPr>
      <w:r w:rsidRPr="002A35A0">
        <w:rPr>
          <w:rFonts w:asciiTheme="majorHAnsi" w:hAnsiTheme="majorHAnsi" w:cstheme="majorHAnsi"/>
          <w:sz w:val="28"/>
          <w:szCs w:val="28"/>
        </w:rPr>
        <w:t xml:space="preserve">(iv) </w:t>
      </w:r>
      <w:r w:rsidR="00A86E72" w:rsidRPr="002A35A0">
        <w:rPr>
          <w:rFonts w:asciiTheme="majorHAnsi" w:hAnsiTheme="majorHAnsi" w:cstheme="majorHAnsi"/>
          <w:sz w:val="28"/>
          <w:szCs w:val="28"/>
        </w:rPr>
        <w:t xml:space="preserve">Cơ quan tổ chức thực hiện BHXH và các cá nhân, cơ quan thực hiện dịch vụ BHXH có trách nhiệm liên quan trực tiếp khi để xảy ra các tình trạng </w:t>
      </w:r>
      <w:r w:rsidR="00A86E72" w:rsidRPr="002A35A0">
        <w:rPr>
          <w:rFonts w:asciiTheme="majorHAnsi" w:hAnsiTheme="majorHAnsi" w:cstheme="majorHAnsi"/>
          <w:sz w:val="28"/>
          <w:szCs w:val="28"/>
        </w:rPr>
        <w:lastRenderedPageBreak/>
        <w:t>chậm đóng, trốn đóng. Luật pháp quy định cụ thể các hành vi vi phạm và chế tài xử lý liên quan đế</w:t>
      </w:r>
      <w:r w:rsidR="005F4995" w:rsidRPr="002A35A0">
        <w:rPr>
          <w:rFonts w:asciiTheme="majorHAnsi" w:hAnsiTheme="majorHAnsi" w:cstheme="majorHAnsi"/>
          <w:sz w:val="28"/>
          <w:szCs w:val="28"/>
        </w:rPr>
        <w:t>n các cá nhân và từng</w:t>
      </w:r>
      <w:r w:rsidR="00A86E72" w:rsidRPr="002A35A0">
        <w:rPr>
          <w:rFonts w:asciiTheme="majorHAnsi" w:hAnsiTheme="majorHAnsi" w:cstheme="majorHAnsi"/>
          <w:sz w:val="28"/>
          <w:szCs w:val="28"/>
        </w:rPr>
        <w:t xml:space="preserve"> cơ quan này.</w:t>
      </w:r>
      <w:r w:rsidR="00A86E72">
        <w:rPr>
          <w:rFonts w:asciiTheme="majorHAnsi" w:hAnsiTheme="majorHAnsi" w:cstheme="majorHAnsi"/>
          <w:sz w:val="28"/>
          <w:szCs w:val="28"/>
        </w:rPr>
        <w:t xml:space="preserve"> </w:t>
      </w:r>
    </w:p>
    <w:p w:rsidR="008A4600" w:rsidRDefault="008A4600" w:rsidP="001F3F26">
      <w:pPr>
        <w:spacing w:before="120" w:after="0"/>
        <w:ind w:firstLine="720"/>
        <w:jc w:val="both"/>
        <w:rPr>
          <w:rFonts w:ascii="Times New Roman" w:eastAsia="Arial" w:hAnsi="Times New Roman" w:cs="Times New Roman"/>
          <w:b/>
          <w:sz w:val="28"/>
          <w:szCs w:val="28"/>
        </w:rPr>
      </w:pPr>
      <w:r>
        <w:rPr>
          <w:rFonts w:ascii="Times New Roman" w:eastAsia="Arial" w:hAnsi="Times New Roman" w:cs="Times New Roman"/>
          <w:b/>
          <w:sz w:val="28"/>
          <w:szCs w:val="28"/>
        </w:rPr>
        <w:t>IV. NỘI DUNG 4: QUY ĐỊNH VỀ VIỆC NHẬN BẢO HIỂM XÃ HỘI MỘT LẦN</w:t>
      </w:r>
    </w:p>
    <w:p w:rsidR="00D6056B" w:rsidRPr="00D6056B" w:rsidRDefault="00D6056B" w:rsidP="00D6056B">
      <w:pPr>
        <w:pStyle w:val="Heading2"/>
        <w:spacing w:before="120"/>
        <w:ind w:firstLine="720"/>
        <w:jc w:val="both"/>
        <w:rPr>
          <w:b/>
          <w:color w:val="auto"/>
          <w:sz w:val="28"/>
          <w:szCs w:val="28"/>
        </w:rPr>
      </w:pPr>
      <w:r w:rsidRPr="00D6056B">
        <w:rPr>
          <w:b/>
          <w:color w:val="auto"/>
          <w:sz w:val="28"/>
          <w:szCs w:val="28"/>
        </w:rPr>
        <w:t xml:space="preserve">1. Tiêu chuẩn lao động quốc tế về hưởng BHXH một lần </w:t>
      </w:r>
    </w:p>
    <w:p w:rsidR="00D6056B" w:rsidRPr="00D6056B" w:rsidRDefault="00D6056B" w:rsidP="00D6056B">
      <w:pPr>
        <w:spacing w:before="120" w:after="0"/>
        <w:ind w:firstLine="720"/>
        <w:jc w:val="both"/>
        <w:rPr>
          <w:rFonts w:ascii="Times New Roman" w:hAnsi="Times New Roman" w:cs="Times New Roman"/>
          <w:sz w:val="28"/>
          <w:szCs w:val="28"/>
        </w:rPr>
      </w:pPr>
      <w:r w:rsidRPr="00D6056B">
        <w:rPr>
          <w:rFonts w:ascii="Times New Roman" w:hAnsi="Times New Roman" w:cs="Times New Roman"/>
          <w:sz w:val="28"/>
          <w:szCs w:val="28"/>
        </w:rPr>
        <w:t>Quyền hưởng các chế độ BHXH nói chung và hưởng chế độ hưu trí khi về già nói riêng sẽ mất đi cùng với việc hưởng BHXH một lần của người lao động. Mức độ bao phủ của hệ thống BHXH cũng vì thế sẽ bị thu hẹp ở cả khía cạnh số người tham gia và số người thụ hưởng các chế độ BHXH. Từ đó các nỗ lực mở rộng diện bao phủ và phát triển đối tượng tham gia BHXH của một quốc gia sẽ bị hạn chế và gặp rất nhiều khó khăn.</w:t>
      </w:r>
    </w:p>
    <w:p w:rsidR="00D6056B" w:rsidRDefault="00D6056B" w:rsidP="00D6056B">
      <w:pPr>
        <w:spacing w:before="120" w:after="0"/>
        <w:ind w:firstLine="720"/>
        <w:jc w:val="both"/>
        <w:rPr>
          <w:rFonts w:ascii="Times New Roman" w:hAnsi="Times New Roman" w:cs="Times New Roman"/>
          <w:sz w:val="28"/>
          <w:szCs w:val="28"/>
        </w:rPr>
      </w:pPr>
      <w:r w:rsidRPr="00D6056B">
        <w:rPr>
          <w:rFonts w:ascii="Times New Roman" w:hAnsi="Times New Roman" w:cs="Times New Roman"/>
          <w:sz w:val="28"/>
          <w:szCs w:val="28"/>
        </w:rPr>
        <w:t xml:space="preserve">Xét từ góc độ tiêu chuẩn quốc tế, các Công ước về an sinh xã hội (các tiêu chuẩn tối thiểu), năm 1952 (C102) và Công ước về các chế độ mất sức lao động, hưu trí và tử tuất, năm 1967 (C128) của Tổ chức Lao động Quốc tế chỉ tập trung yêu cầu các quốc gia thành viên “bảo đảm cho những người được bảo vệ” được hưởng chế độ hưu trí định kỳ (hàng tháng hoặc hàng năm) tùy theo số năm đóng góp hay làm việc hoặc thường trú của họ, mà không đề cập đến việc hưởng BHXH một lần - một hình thức hoàn toàn không phù hợp trong nỗ lực bảo đảm sự bảo vệ của xã hội đối với các thành viên của mình để đương đầu với những khó khăn, cú sốc về kinh tế và xã hội dẫn đến mất hoặc làm giảm nghiêm trọng thu nhập do tuổi già. </w:t>
      </w:r>
    </w:p>
    <w:p w:rsidR="00D6056B" w:rsidRPr="00D6056B" w:rsidRDefault="00D6056B" w:rsidP="00D6056B">
      <w:pPr>
        <w:spacing w:before="120" w:after="0"/>
        <w:ind w:firstLine="720"/>
        <w:jc w:val="both"/>
        <w:rPr>
          <w:rFonts w:ascii="Times New Roman" w:hAnsi="Times New Roman" w:cs="Times New Roman"/>
          <w:b/>
          <w:sz w:val="28"/>
          <w:szCs w:val="28"/>
        </w:rPr>
      </w:pPr>
      <w:r w:rsidRPr="00D6056B">
        <w:rPr>
          <w:rFonts w:ascii="Times New Roman" w:hAnsi="Times New Roman" w:cs="Times New Roman"/>
          <w:b/>
          <w:sz w:val="28"/>
          <w:szCs w:val="28"/>
        </w:rPr>
        <w:t>2. Kinh nghiệm một số nước quy định về nhận BHXH một lần</w:t>
      </w:r>
    </w:p>
    <w:p w:rsidR="00D6056B" w:rsidRPr="00D6056B" w:rsidRDefault="00D6056B" w:rsidP="00D6056B">
      <w:pPr>
        <w:spacing w:before="120" w:after="0"/>
        <w:ind w:firstLine="720"/>
        <w:jc w:val="both"/>
        <w:rPr>
          <w:rFonts w:ascii="Times New Roman" w:hAnsi="Times New Roman" w:cs="Times New Roman"/>
          <w:sz w:val="28"/>
          <w:szCs w:val="28"/>
        </w:rPr>
      </w:pPr>
      <w:r w:rsidRPr="00D6056B">
        <w:rPr>
          <w:rFonts w:ascii="Times New Roman" w:hAnsi="Times New Roman" w:cs="Times New Roman"/>
          <w:sz w:val="28"/>
          <w:szCs w:val="28"/>
        </w:rPr>
        <w:t>Trên thế giới chỉ có rất ít quốc gia với các chương trình hưu trí BHXH dựa trên đóng góp của các bên liên quan quy định chi trả khoản BHXH một lần khi những người tham gia không đủ điều kiện theo luật định để hưởng hưu trí định kỳ khi đến tuổi nghỉ hưu. Các quốc gia này bao gồm: Hàn Quốc, Trung Quốc, Ai Cập, Indonesia, Cộng hòa dân chủ nhân dân Lào và Pakistan.</w:t>
      </w:r>
    </w:p>
    <w:p w:rsidR="00D6056B" w:rsidRPr="00D6056B" w:rsidRDefault="00D6056B" w:rsidP="00D6056B">
      <w:pPr>
        <w:spacing w:before="120" w:after="0"/>
        <w:ind w:firstLine="720"/>
        <w:jc w:val="both"/>
        <w:rPr>
          <w:rFonts w:ascii="Times New Roman" w:hAnsi="Times New Roman" w:cs="Times New Roman"/>
          <w:sz w:val="28"/>
          <w:szCs w:val="28"/>
        </w:rPr>
      </w:pPr>
      <w:r w:rsidRPr="00D6056B">
        <w:rPr>
          <w:rFonts w:ascii="Times New Roman" w:hAnsi="Times New Roman" w:cs="Times New Roman"/>
          <w:sz w:val="28"/>
          <w:szCs w:val="28"/>
        </w:rPr>
        <w:t xml:space="preserve">- Điều 77 Luật Hưu trí quốc gia Hàn Quốc quy định các trường hợp hưởng BHXH một lần bao gồm (i) Đủ 60 tuổi nhưng chưa đủ 10 năm đóng BHXH; (ii) Bị mất quốc tịch hoặc (iii) Ra nước ngoài để định cư. </w:t>
      </w:r>
    </w:p>
    <w:p w:rsidR="00D6056B" w:rsidRPr="00D6056B" w:rsidRDefault="00D6056B" w:rsidP="00D6056B">
      <w:pPr>
        <w:spacing w:before="120" w:after="0"/>
        <w:ind w:firstLine="720"/>
        <w:jc w:val="both"/>
        <w:rPr>
          <w:rFonts w:ascii="Times New Roman" w:hAnsi="Times New Roman" w:cs="Times New Roman"/>
          <w:sz w:val="28"/>
          <w:szCs w:val="28"/>
        </w:rPr>
      </w:pPr>
      <w:r w:rsidRPr="00D6056B">
        <w:rPr>
          <w:rFonts w:ascii="Times New Roman" w:hAnsi="Times New Roman" w:cs="Times New Roman"/>
          <w:sz w:val="28"/>
          <w:szCs w:val="28"/>
        </w:rPr>
        <w:t>- Ở Trung Quốc, mặc dù quy định nếu có dưới 15 năm đóng góp, người được bảo hiểm có thể lựa chọn dừng đóng và nhận chi trả một lần, nhưng Nhà nước vẫn khuyến khích người dân duy trì việc đóng góp với các hình thứ</w:t>
      </w:r>
      <w:r w:rsidR="00994B85">
        <w:rPr>
          <w:rFonts w:ascii="Times New Roman" w:hAnsi="Times New Roman" w:cs="Times New Roman"/>
          <w:sz w:val="28"/>
          <w:szCs w:val="28"/>
        </w:rPr>
        <w:t xml:space="preserve">c: (i) </w:t>
      </w:r>
      <w:r w:rsidRPr="00D6056B">
        <w:rPr>
          <w:rFonts w:ascii="Times New Roman" w:hAnsi="Times New Roman" w:cs="Times New Roman"/>
          <w:sz w:val="28"/>
          <w:szCs w:val="28"/>
        </w:rPr>
        <w:t xml:space="preserve"> Những người tham gia chương trình bảo hiểm hưu trí cơ bản trước năm 2011 ở độ tuổi nghỉ hưu theo luật định và có ít nhất 10 năm nhưng dưới 15 năm làm việc thuộc diện bao phủ BHXH có thể đóng một khoản đóng góp một lần để đủ điều </w:t>
      </w:r>
      <w:r w:rsidRPr="00D6056B">
        <w:rPr>
          <w:rFonts w:ascii="Times New Roman" w:hAnsi="Times New Roman" w:cs="Times New Roman"/>
          <w:sz w:val="28"/>
          <w:szCs w:val="28"/>
        </w:rPr>
        <w:lastRenderedPageBreak/>
        <w:t>kiện hưởng hưu trí cơ bả</w:t>
      </w:r>
      <w:r w:rsidR="00994B85">
        <w:rPr>
          <w:rFonts w:ascii="Times New Roman" w:hAnsi="Times New Roman" w:cs="Times New Roman"/>
          <w:sz w:val="28"/>
          <w:szCs w:val="28"/>
        </w:rPr>
        <w:t xml:space="preserve">n; (ii) </w:t>
      </w:r>
      <w:r w:rsidRPr="00D6056B">
        <w:rPr>
          <w:rFonts w:ascii="Times New Roman" w:hAnsi="Times New Roman" w:cs="Times New Roman"/>
          <w:sz w:val="28"/>
          <w:szCs w:val="28"/>
        </w:rPr>
        <w:t>Những người được bảo hiểm đủ 60 tuổi với dưới 15 năm làm việc thuộc diện bao phủ BHXH có thể tiếp tục đóng góp cho đến khi họ đủ điều kiện hoặc thực hiện khoản đóng góp một lần vào chương trình hưu trí dành cho nông dân và cư dân thành thị không làm công ăn lương (có sự hỗ trợ của Nhà nước) để đủ điều kiện hưởng chế độ hưu trí.</w:t>
      </w:r>
    </w:p>
    <w:p w:rsidR="00D6056B" w:rsidRPr="00D6056B" w:rsidRDefault="00D6056B" w:rsidP="00D6056B">
      <w:pPr>
        <w:spacing w:before="120" w:after="0"/>
        <w:ind w:firstLine="720"/>
        <w:jc w:val="both"/>
        <w:rPr>
          <w:rFonts w:ascii="Times New Roman" w:hAnsi="Times New Roman" w:cs="Times New Roman"/>
          <w:sz w:val="28"/>
          <w:szCs w:val="28"/>
        </w:rPr>
      </w:pPr>
      <w:r w:rsidRPr="00D6056B">
        <w:rPr>
          <w:rFonts w:ascii="Times New Roman" w:hAnsi="Times New Roman" w:cs="Times New Roman"/>
          <w:spacing w:val="-4"/>
          <w:sz w:val="28"/>
          <w:szCs w:val="28"/>
        </w:rPr>
        <w:t>- Ở Ai Cập, chi trả BHXH một lần chỉ được giải quyết đối với các trường hợp:</w:t>
      </w:r>
      <w:r w:rsidR="00994B85">
        <w:rPr>
          <w:rFonts w:ascii="Times New Roman" w:hAnsi="Times New Roman" w:cs="Times New Roman"/>
          <w:spacing w:val="-4"/>
          <w:sz w:val="28"/>
          <w:szCs w:val="28"/>
        </w:rPr>
        <w:t xml:space="preserve"> (i) </w:t>
      </w:r>
      <w:r w:rsidRPr="00D6056B">
        <w:rPr>
          <w:rFonts w:ascii="Times New Roman" w:hAnsi="Times New Roman" w:cs="Times New Roman"/>
          <w:sz w:val="28"/>
          <w:szCs w:val="28"/>
        </w:rPr>
        <w:t xml:space="preserve">Đủ 60 tuổi nhưng không đủ điều kiện hưởng chế độ hưu trí; </w:t>
      </w:r>
      <w:r w:rsidR="00994B85">
        <w:rPr>
          <w:rFonts w:ascii="Times New Roman" w:hAnsi="Times New Roman" w:cs="Times New Roman"/>
          <w:sz w:val="28"/>
          <w:szCs w:val="28"/>
        </w:rPr>
        <w:t xml:space="preserve">(ii) </w:t>
      </w:r>
      <w:r w:rsidRPr="00D6056B">
        <w:rPr>
          <w:rFonts w:ascii="Times New Roman" w:hAnsi="Times New Roman" w:cs="Times New Roman"/>
          <w:sz w:val="28"/>
          <w:szCs w:val="28"/>
        </w:rPr>
        <w:t xml:space="preserve">Ở mọi độ tuổi nếu di cư ra nước ngoài vĩnh viễn; hoặc </w:t>
      </w:r>
      <w:r w:rsidR="00994B85">
        <w:rPr>
          <w:rFonts w:ascii="Times New Roman" w:hAnsi="Times New Roman" w:cs="Times New Roman"/>
          <w:sz w:val="28"/>
          <w:szCs w:val="28"/>
        </w:rPr>
        <w:t>(iii) p</w:t>
      </w:r>
      <w:r w:rsidRPr="00D6056B">
        <w:rPr>
          <w:rFonts w:ascii="Times New Roman" w:hAnsi="Times New Roman" w:cs="Times New Roman"/>
          <w:sz w:val="28"/>
          <w:szCs w:val="28"/>
        </w:rPr>
        <w:t xml:space="preserve">hụ nữ được bảo hiểm từ 51 tuổi trở lên </w:t>
      </w:r>
      <w:r w:rsidR="00994B85">
        <w:rPr>
          <w:rFonts w:ascii="Times New Roman" w:hAnsi="Times New Roman" w:cs="Times New Roman"/>
          <w:sz w:val="28"/>
          <w:szCs w:val="28"/>
        </w:rPr>
        <w:t>(</w:t>
      </w:r>
      <w:r w:rsidRPr="00D6056B">
        <w:rPr>
          <w:rFonts w:ascii="Times New Roman" w:hAnsi="Times New Roman" w:cs="Times New Roman"/>
          <w:sz w:val="28"/>
          <w:szCs w:val="28"/>
        </w:rPr>
        <w:t>kết hôn, li dị hoặc góa phụ) mà không đủ điều kiện hưởng chế độ hưu trí. Điều kiện đủ để hưởng chế độ hưu trí là đủ 60 tuổi với ít nhất 10 năm đóng góp.</w:t>
      </w:r>
    </w:p>
    <w:p w:rsidR="00D6056B" w:rsidRPr="00D6056B" w:rsidRDefault="00D6056B" w:rsidP="00D6056B">
      <w:pPr>
        <w:spacing w:before="120" w:after="0"/>
        <w:ind w:firstLine="720"/>
        <w:jc w:val="both"/>
        <w:rPr>
          <w:rFonts w:ascii="Times New Roman" w:hAnsi="Times New Roman" w:cs="Times New Roman"/>
          <w:sz w:val="28"/>
          <w:szCs w:val="28"/>
        </w:rPr>
      </w:pPr>
      <w:r w:rsidRPr="00D6056B">
        <w:rPr>
          <w:rFonts w:ascii="Times New Roman" w:hAnsi="Times New Roman" w:cs="Times New Roman"/>
          <w:sz w:val="28"/>
          <w:szCs w:val="28"/>
        </w:rPr>
        <w:t>- Ở Indonesia, người tham gia BHXH nếu có thời gian đóng góp dưới 180 tháng (15 năm) sẽ được hưởng BHXH một lần bằng tổng các khoản đóng góp của người đó cộng với thu nhập có được từ đầu tư.</w:t>
      </w:r>
    </w:p>
    <w:p w:rsidR="00D6056B" w:rsidRPr="00D6056B" w:rsidRDefault="00D6056B" w:rsidP="00D6056B">
      <w:pPr>
        <w:spacing w:before="120" w:after="0"/>
        <w:ind w:firstLine="720"/>
        <w:jc w:val="both"/>
        <w:rPr>
          <w:rFonts w:ascii="Times New Roman" w:hAnsi="Times New Roman" w:cs="Times New Roman"/>
          <w:sz w:val="28"/>
          <w:szCs w:val="28"/>
        </w:rPr>
      </w:pPr>
      <w:r w:rsidRPr="00D6056B">
        <w:rPr>
          <w:rFonts w:ascii="Times New Roman" w:hAnsi="Times New Roman" w:cs="Times New Roman"/>
          <w:sz w:val="28"/>
          <w:szCs w:val="28"/>
        </w:rPr>
        <w:t>Đối với một số nước như Cộng hòa dân chủ nhân dân Lào và Pakistan, BHXH một lần chỉ được chi trả khi người lao động đến tuổi nghỉ hưu và không đủ điều kiện để hưởng hưu trí định kỳ, như sau:</w:t>
      </w:r>
    </w:p>
    <w:p w:rsidR="00D6056B" w:rsidRPr="00D6056B" w:rsidRDefault="00D6056B" w:rsidP="00D6056B">
      <w:pPr>
        <w:spacing w:before="120" w:after="0"/>
        <w:ind w:firstLine="720"/>
        <w:jc w:val="both"/>
        <w:rPr>
          <w:rFonts w:ascii="Times New Roman" w:hAnsi="Times New Roman" w:cs="Times New Roman"/>
          <w:sz w:val="28"/>
          <w:szCs w:val="28"/>
        </w:rPr>
      </w:pPr>
      <w:r w:rsidRPr="00D6056B">
        <w:rPr>
          <w:rFonts w:ascii="Times New Roman" w:hAnsi="Times New Roman" w:cs="Times New Roman"/>
          <w:sz w:val="28"/>
          <w:szCs w:val="28"/>
        </w:rPr>
        <w:t>- Ở Lào, nam giới 60 tuổi và phụ nữ 55 tuổi với dưới 15 năm đóng góp. Mức hưởng hưu trí một lần bằng 1,5 tháng lương bình quân của người được bảo hiểm trong sáu tháng cuối trước khi nghỉ hưu nhân với số năm đóng bảo hiểm.</w:t>
      </w:r>
    </w:p>
    <w:p w:rsidR="00D6056B" w:rsidRDefault="00D6056B" w:rsidP="00D6056B">
      <w:pPr>
        <w:spacing w:before="120" w:after="0"/>
        <w:ind w:firstLine="720"/>
        <w:jc w:val="both"/>
        <w:rPr>
          <w:rFonts w:ascii="Times New Roman" w:hAnsi="Times New Roman" w:cs="Times New Roman"/>
          <w:sz w:val="28"/>
          <w:szCs w:val="28"/>
        </w:rPr>
      </w:pPr>
      <w:r w:rsidRPr="00D6056B">
        <w:rPr>
          <w:rFonts w:ascii="Times New Roman" w:hAnsi="Times New Roman" w:cs="Times New Roman"/>
          <w:sz w:val="28"/>
          <w:szCs w:val="28"/>
        </w:rPr>
        <w:t xml:space="preserve">- Ở Pakistan, nam giới 60 tuổi, phụ nữ 55 tuổi hoặc thợ hầm lò 50 tuổi với ít nhất 2 năm nhưng dưới 15 năm đóng góp. Mức hưởng hưu trí một lần được tính bằng </w:t>
      </w:r>
      <w:r w:rsidR="003262DF">
        <w:rPr>
          <w:rFonts w:ascii="Times New Roman" w:hAnsi="Times New Roman" w:cs="Times New Roman"/>
          <w:sz w:val="28"/>
          <w:szCs w:val="28"/>
        </w:rPr>
        <w:t>01</w:t>
      </w:r>
      <w:r w:rsidRPr="00D6056B">
        <w:rPr>
          <w:rFonts w:ascii="Times New Roman" w:hAnsi="Times New Roman" w:cs="Times New Roman"/>
          <w:sz w:val="28"/>
          <w:szCs w:val="28"/>
        </w:rPr>
        <w:t>tháng lương bình quân của người được bảo hiểm đối với mỗ</w:t>
      </w:r>
      <w:r w:rsidR="003262DF">
        <w:rPr>
          <w:rFonts w:ascii="Times New Roman" w:hAnsi="Times New Roman" w:cs="Times New Roman"/>
          <w:sz w:val="28"/>
          <w:szCs w:val="28"/>
        </w:rPr>
        <w:t>i năm đóng</w:t>
      </w:r>
      <w:r w:rsidRPr="00D6056B">
        <w:rPr>
          <w:rFonts w:ascii="Times New Roman" w:hAnsi="Times New Roman" w:cs="Times New Roman"/>
          <w:sz w:val="28"/>
          <w:szCs w:val="28"/>
        </w:rPr>
        <w:t>.</w:t>
      </w:r>
    </w:p>
    <w:p w:rsidR="00FA25BD" w:rsidRPr="002A35A0" w:rsidRDefault="00FA25BD" w:rsidP="00D6056B">
      <w:pPr>
        <w:spacing w:before="120" w:after="0"/>
        <w:ind w:firstLine="720"/>
        <w:jc w:val="both"/>
        <w:rPr>
          <w:rFonts w:ascii="Times New Roman" w:hAnsi="Times New Roman" w:cs="Times New Roman"/>
          <w:b/>
          <w:sz w:val="28"/>
          <w:lang w:val="en-GB"/>
        </w:rPr>
      </w:pPr>
      <w:r w:rsidRPr="002A35A0">
        <w:rPr>
          <w:rFonts w:ascii="Times New Roman" w:hAnsi="Times New Roman" w:cs="Times New Roman"/>
          <w:b/>
          <w:sz w:val="28"/>
          <w:lang w:val="en-GB"/>
        </w:rPr>
        <w:t xml:space="preserve">3. Một số kinh nghiệm chính rút ra liên quan </w:t>
      </w:r>
      <w:r w:rsidR="0000516F" w:rsidRPr="002A35A0">
        <w:rPr>
          <w:rFonts w:ascii="Times New Roman" w:hAnsi="Times New Roman" w:cs="Times New Roman"/>
          <w:b/>
          <w:sz w:val="28"/>
          <w:lang w:val="en-GB"/>
        </w:rPr>
        <w:t xml:space="preserve">đến quy định nhận BHXH một lần </w:t>
      </w:r>
    </w:p>
    <w:p w:rsidR="00306C08" w:rsidRPr="002A35A0" w:rsidRDefault="0000516F" w:rsidP="009D6284">
      <w:pPr>
        <w:spacing w:before="120" w:after="0"/>
        <w:ind w:firstLine="720"/>
        <w:jc w:val="both"/>
        <w:rPr>
          <w:rFonts w:ascii="Times New Roman" w:hAnsi="Times New Roman" w:cs="Times New Roman"/>
          <w:sz w:val="28"/>
          <w:szCs w:val="28"/>
        </w:rPr>
      </w:pPr>
      <w:r w:rsidRPr="002A35A0">
        <w:rPr>
          <w:rFonts w:ascii="Times New Roman" w:hAnsi="Times New Roman" w:cs="Times New Roman"/>
          <w:sz w:val="28"/>
          <w:lang w:val="en-GB"/>
        </w:rPr>
        <w:t xml:space="preserve">(i) </w:t>
      </w:r>
      <w:r w:rsidRPr="002A35A0">
        <w:rPr>
          <w:rFonts w:ascii="Times New Roman" w:hAnsi="Times New Roman" w:cs="Times New Roman"/>
          <w:sz w:val="28"/>
          <w:szCs w:val="28"/>
        </w:rPr>
        <w:t xml:space="preserve">Để đảm bảo ý nghĩa của bảo hiểm xã hội là giúp các thành viên của xã hội có thể đương đầu với những khó khăn, cú sốc về kinh tế và xã hội dẫn đến mất hoặc làm giảm nghiêm trọng thu nhập do tuổi già, các quy định trong các công ước quốc tế chỉ tập trung yêu cầu các quốc gia thành viên “bảo đảm cho những người được bảo vệ” được hưởng chế độ hưu trí định kỳ (hàng tháng hoặc hàng năm) tùy theo số năm đóng góp hay làm việc hoặc thường trú của họ, mà không đề cập đến việc hưởng BHXH một lần hưởng. </w:t>
      </w:r>
    </w:p>
    <w:p w:rsidR="009D6284" w:rsidRPr="002A35A0" w:rsidRDefault="009D6284" w:rsidP="009D6284">
      <w:pPr>
        <w:spacing w:before="120" w:after="0"/>
        <w:ind w:firstLine="720"/>
        <w:jc w:val="both"/>
        <w:rPr>
          <w:rFonts w:ascii="Times New Roman" w:hAnsi="Times New Roman" w:cs="Times New Roman"/>
          <w:sz w:val="28"/>
          <w:szCs w:val="28"/>
        </w:rPr>
      </w:pPr>
      <w:r w:rsidRPr="002A35A0">
        <w:rPr>
          <w:rFonts w:ascii="Times New Roman" w:hAnsi="Times New Roman" w:cs="Times New Roman"/>
          <w:sz w:val="28"/>
          <w:szCs w:val="28"/>
        </w:rPr>
        <w:t>Mục tiêu mở rộng và đảm bảo độ bao phủ BHXH toàn dân cũng có thể bị ảnh hưởng khi có quy định cho phép người lao động hưởng BHXH một lần khi nếu ko có biện pháp phù hợp để khuyến khích những người đó quay trở lại hệ thố</w:t>
      </w:r>
      <w:r w:rsidR="00306C08" w:rsidRPr="002A35A0">
        <w:rPr>
          <w:rFonts w:ascii="Times New Roman" w:hAnsi="Times New Roman" w:cs="Times New Roman"/>
          <w:sz w:val="28"/>
          <w:szCs w:val="28"/>
        </w:rPr>
        <w:t>ng hoặc có</w:t>
      </w:r>
    </w:p>
    <w:p w:rsidR="0000516F" w:rsidRPr="002A35A0" w:rsidRDefault="008407DB" w:rsidP="00D6056B">
      <w:pPr>
        <w:spacing w:before="120" w:after="0"/>
        <w:ind w:firstLine="720"/>
        <w:jc w:val="both"/>
        <w:rPr>
          <w:rFonts w:ascii="Times New Roman" w:hAnsi="Times New Roman" w:cs="Times New Roman"/>
          <w:sz w:val="28"/>
          <w:szCs w:val="28"/>
        </w:rPr>
      </w:pPr>
      <w:r w:rsidRPr="002A35A0">
        <w:rPr>
          <w:rFonts w:ascii="Times New Roman" w:hAnsi="Times New Roman" w:cs="Times New Roman"/>
          <w:sz w:val="28"/>
          <w:szCs w:val="28"/>
        </w:rPr>
        <w:lastRenderedPageBreak/>
        <w:t xml:space="preserve">(ii) </w:t>
      </w:r>
      <w:r w:rsidR="00306C08" w:rsidRPr="002A35A0">
        <w:rPr>
          <w:rFonts w:ascii="Times New Roman" w:hAnsi="Times New Roman" w:cs="Times New Roman"/>
          <w:sz w:val="28"/>
          <w:szCs w:val="28"/>
        </w:rPr>
        <w:t>M</w:t>
      </w:r>
      <w:r w:rsidRPr="002A35A0">
        <w:rPr>
          <w:rFonts w:ascii="Times New Roman" w:hAnsi="Times New Roman" w:cs="Times New Roman"/>
          <w:sz w:val="28"/>
          <w:szCs w:val="28"/>
        </w:rPr>
        <w:t>ột số nước có cân nhắc và quy định về hình thức nhận BHXH một lần với việc chi trả BHXH một lần</w:t>
      </w:r>
      <w:r w:rsidR="00A74016" w:rsidRPr="002A35A0">
        <w:rPr>
          <w:rFonts w:ascii="Times New Roman" w:hAnsi="Times New Roman" w:cs="Times New Roman"/>
          <w:sz w:val="28"/>
          <w:szCs w:val="28"/>
        </w:rPr>
        <w:t>, nhưng</w:t>
      </w:r>
      <w:r w:rsidRPr="002A35A0">
        <w:rPr>
          <w:rFonts w:ascii="Times New Roman" w:hAnsi="Times New Roman" w:cs="Times New Roman"/>
          <w:sz w:val="28"/>
          <w:szCs w:val="28"/>
        </w:rPr>
        <w:t xml:space="preserve"> chỉ được thực hiện khi người lao động đến tuổi nghỉ hưu mà không đủ điều kiện hưởng hưu trí định kỳ (hàng tháng, quý hoặc năm)</w:t>
      </w:r>
      <w:r w:rsidR="00306C08" w:rsidRPr="002A35A0">
        <w:rPr>
          <w:rFonts w:ascii="Times New Roman" w:hAnsi="Times New Roman" w:cs="Times New Roman"/>
          <w:sz w:val="28"/>
          <w:szCs w:val="28"/>
        </w:rPr>
        <w:t xml:space="preserve"> và người lao động được khuyến khích tiếp tục đóng BHXH để có thể đủ điều kiện hưởng hưu trí trong tương lai. </w:t>
      </w:r>
    </w:p>
    <w:p w:rsidR="00A74016" w:rsidRDefault="00A74016" w:rsidP="00D6056B">
      <w:pPr>
        <w:spacing w:before="120" w:after="0"/>
        <w:ind w:firstLine="720"/>
        <w:jc w:val="both"/>
        <w:rPr>
          <w:rFonts w:ascii="Times New Roman" w:hAnsi="Times New Roman" w:cs="Times New Roman"/>
          <w:sz w:val="28"/>
          <w:szCs w:val="28"/>
        </w:rPr>
      </w:pPr>
      <w:r w:rsidRPr="002A35A0">
        <w:rPr>
          <w:rFonts w:ascii="Times New Roman" w:hAnsi="Times New Roman" w:cs="Times New Roman"/>
          <w:sz w:val="28"/>
          <w:szCs w:val="28"/>
        </w:rPr>
        <w:t>(iii) Về điều kiện đóng để được hưởng, đa số các nước hiện đang quy định là 10 hoặc 15 năm (ngắn hơn so với quy định 20 năm như của Việt Nam hiện nay).</w:t>
      </w:r>
      <w:r>
        <w:rPr>
          <w:rFonts w:ascii="Times New Roman" w:hAnsi="Times New Roman" w:cs="Times New Roman"/>
          <w:sz w:val="28"/>
          <w:szCs w:val="28"/>
        </w:rPr>
        <w:t xml:space="preserve"> </w:t>
      </w:r>
    </w:p>
    <w:p w:rsidR="008A4600" w:rsidRPr="001F3F26" w:rsidRDefault="008A4600" w:rsidP="001F3F26">
      <w:pPr>
        <w:spacing w:before="120" w:after="0"/>
        <w:ind w:firstLine="720"/>
        <w:jc w:val="both"/>
        <w:rPr>
          <w:rFonts w:ascii="Times New Roman" w:eastAsia="Arial" w:hAnsi="Times New Roman" w:cs="Times New Roman"/>
          <w:b/>
          <w:sz w:val="28"/>
          <w:szCs w:val="28"/>
        </w:rPr>
      </w:pPr>
      <w:r w:rsidRPr="001F3F26">
        <w:rPr>
          <w:rFonts w:ascii="Times New Roman" w:eastAsia="Arial" w:hAnsi="Times New Roman" w:cs="Times New Roman"/>
          <w:b/>
          <w:sz w:val="28"/>
          <w:szCs w:val="28"/>
        </w:rPr>
        <w:t>IV. NỘI DUNG 5: QUY ĐỊNH VỀ MÔ HÌNH TỔ CHỨC CỦA CƠ QUAN THỰC HIỆN CHÍNH SÁCH BẢO HIỂM XÃ HỘI</w:t>
      </w:r>
    </w:p>
    <w:p w:rsidR="001F3F26" w:rsidRPr="001F3F26" w:rsidRDefault="001F3F26" w:rsidP="001F3F26">
      <w:pPr>
        <w:spacing w:before="120" w:after="0"/>
        <w:ind w:firstLine="720"/>
        <w:jc w:val="both"/>
        <w:outlineLvl w:val="1"/>
        <w:rPr>
          <w:rFonts w:ascii="Times New Roman" w:eastAsia="Times New Roman" w:hAnsi="Times New Roman" w:cs="Times New Roman"/>
          <w:b/>
          <w:color w:val="000000"/>
          <w:spacing w:val="-6"/>
          <w:sz w:val="28"/>
          <w:szCs w:val="28"/>
          <w:shd w:val="clear" w:color="auto" w:fill="FFFFFF"/>
          <w:lang w:val="sv-SE" w:eastAsia="vi-VN"/>
        </w:rPr>
      </w:pPr>
      <w:r w:rsidRPr="001F3F26">
        <w:rPr>
          <w:rFonts w:ascii="Times New Roman" w:eastAsia="Times New Roman" w:hAnsi="Times New Roman" w:cs="Times New Roman"/>
          <w:b/>
          <w:color w:val="000000"/>
          <w:spacing w:val="-6"/>
          <w:sz w:val="28"/>
          <w:szCs w:val="28"/>
          <w:shd w:val="clear" w:color="auto" w:fill="FFFFFF"/>
          <w:lang w:val="sv-SE" w:eastAsia="vi-VN"/>
        </w:rPr>
        <w:t>1. Kinh nghiệm của Nhật Bản</w:t>
      </w:r>
    </w:p>
    <w:p w:rsidR="001F3F26" w:rsidRPr="001F3F26" w:rsidRDefault="00EE7CFF" w:rsidP="001F3F26">
      <w:pPr>
        <w:spacing w:before="120" w:after="0"/>
        <w:ind w:firstLine="720"/>
        <w:jc w:val="both"/>
        <w:outlineLvl w:val="2"/>
        <w:rPr>
          <w:rFonts w:ascii="Times New Roman" w:eastAsiaTheme="majorEastAsia" w:hAnsi="Times New Roman" w:cs="Times New Roman"/>
          <w:b/>
          <w:bCs/>
          <w:i/>
          <w:spacing w:val="4"/>
          <w:sz w:val="28"/>
          <w:szCs w:val="28"/>
          <w:shd w:val="clear" w:color="auto" w:fill="FFFFFF"/>
          <w:lang w:val="sv-SE"/>
        </w:rPr>
      </w:pPr>
      <w:r>
        <w:rPr>
          <w:rFonts w:ascii="Times New Roman" w:eastAsiaTheme="majorEastAsia" w:hAnsi="Times New Roman" w:cs="Times New Roman"/>
          <w:b/>
          <w:bCs/>
          <w:i/>
          <w:spacing w:val="4"/>
          <w:sz w:val="28"/>
          <w:szCs w:val="28"/>
          <w:shd w:val="clear" w:color="auto" w:fill="FFFFFF"/>
          <w:lang w:val="sv-SE"/>
        </w:rPr>
        <w:t>1.1.</w:t>
      </w:r>
      <w:r w:rsidR="0000162D">
        <w:rPr>
          <w:rFonts w:ascii="Times New Roman" w:eastAsiaTheme="majorEastAsia" w:hAnsi="Times New Roman" w:cs="Times New Roman"/>
          <w:b/>
          <w:bCs/>
          <w:i/>
          <w:spacing w:val="4"/>
          <w:sz w:val="28"/>
          <w:szCs w:val="28"/>
          <w:shd w:val="clear" w:color="auto" w:fill="FFFFFF"/>
          <w:lang w:val="sv-SE"/>
        </w:rPr>
        <w:t xml:space="preserve"> </w:t>
      </w:r>
      <w:r w:rsidR="001F3F26" w:rsidRPr="001F3F26">
        <w:rPr>
          <w:rFonts w:ascii="Times New Roman" w:eastAsiaTheme="majorEastAsia" w:hAnsi="Times New Roman" w:cs="Times New Roman"/>
          <w:b/>
          <w:bCs/>
          <w:i/>
          <w:spacing w:val="4"/>
          <w:sz w:val="28"/>
          <w:szCs w:val="28"/>
          <w:shd w:val="clear" w:color="auto" w:fill="FFFFFF"/>
          <w:lang w:val="sv-SE"/>
        </w:rPr>
        <w:t>Tổng quan về quản lý hệ thống hưu trí của Nhật Bản</w:t>
      </w:r>
    </w:p>
    <w:p w:rsidR="001F3F26" w:rsidRPr="001F3F26" w:rsidRDefault="001F3F26" w:rsidP="001F3F26">
      <w:pPr>
        <w:spacing w:before="120" w:after="0"/>
        <w:ind w:firstLine="720"/>
        <w:jc w:val="both"/>
        <w:rPr>
          <w:rFonts w:ascii="Times New Roman" w:eastAsia="Arial" w:hAnsi="Times New Roman" w:cs="Times New Roman"/>
          <w:iCs/>
          <w:noProof/>
          <w:sz w:val="28"/>
          <w:szCs w:val="28"/>
        </w:rPr>
      </w:pPr>
      <w:r w:rsidRPr="001F3F26">
        <w:rPr>
          <w:rFonts w:ascii="Times New Roman" w:eastAsia="Arial" w:hAnsi="Times New Roman" w:cs="Times New Roman"/>
          <w:iCs/>
          <w:noProof/>
          <w:sz w:val="28"/>
          <w:szCs w:val="28"/>
        </w:rPr>
        <w:t>Đất nước Nhật Bản có khoảng 127 triệu dân, là một trong những quốc gia có dân số già nhất thế giới. Hiện nay, có khoảng 40,5 triệu người hưởng lương hưu hằng tháng và 67,1 triệu người đang đóng góp vào hệ thống hưu trí.</w:t>
      </w:r>
    </w:p>
    <w:p w:rsidR="001F3F26" w:rsidRPr="001F3F26" w:rsidRDefault="001F3F26" w:rsidP="001F3F26">
      <w:pPr>
        <w:spacing w:before="120" w:after="0"/>
        <w:ind w:firstLine="720"/>
        <w:jc w:val="both"/>
        <w:rPr>
          <w:rFonts w:ascii="Times New Roman" w:eastAsia="Arial" w:hAnsi="Times New Roman" w:cs="Times New Roman"/>
          <w:noProof/>
          <w:sz w:val="28"/>
          <w:szCs w:val="28"/>
        </w:rPr>
      </w:pPr>
      <w:r w:rsidRPr="001F3F26">
        <w:rPr>
          <w:rFonts w:ascii="Times New Roman" w:eastAsia="Arial" w:hAnsi="Times New Roman" w:cs="Times New Roman"/>
          <w:noProof/>
          <w:sz w:val="28"/>
          <w:szCs w:val="28"/>
        </w:rPr>
        <w:t xml:space="preserve">Câu chuyện “khủng hoảng” của Nhật Bản xảy ra vào tháng 5/2007. Trước sức ép của các đại biểu quốc hội phe đối lập, cơ quan BHXH của chính phủ Thủ tướng Shindo Abe (tên tiếng Anh của cơ quan BHXH này là Social Insurance Agency - SIA) buộc </w:t>
      </w:r>
      <w:r w:rsidRPr="001F3F26">
        <w:rPr>
          <w:rFonts w:ascii="Times New Roman" w:eastAsia="Arial" w:hAnsi="Times New Roman" w:cs="Times New Roman"/>
          <w:bCs/>
          <w:noProof/>
          <w:sz w:val="28"/>
          <w:szCs w:val="28"/>
        </w:rPr>
        <w:t>phải công bố số liệu về các hồ sơ hưu trí điện tử đang được theo dõi trong hệ thống nhưng không tìm được chủ của nó, không gắn với một mã định danh nào. Có nghĩa là hồ</w:t>
      </w:r>
      <w:r w:rsidRPr="001F3F26">
        <w:rPr>
          <w:rFonts w:ascii="Times New Roman" w:eastAsia="Arial" w:hAnsi="Times New Roman" w:cs="Times New Roman"/>
          <w:noProof/>
          <w:sz w:val="28"/>
          <w:szCs w:val="28"/>
        </w:rPr>
        <w:t xml:space="preserve"> sơ về quá trình đóng góp có trong cơ sở dữ liệu của SIA nhưng không xác định được là hồ sơ đó là của công dân nào. </w:t>
      </w:r>
    </w:p>
    <w:p w:rsidR="001F3F26" w:rsidRPr="001F3F26" w:rsidRDefault="001F3F26" w:rsidP="001F3F26">
      <w:pPr>
        <w:spacing w:before="120" w:after="0"/>
        <w:ind w:firstLine="720"/>
        <w:jc w:val="both"/>
        <w:rPr>
          <w:rFonts w:ascii="Times New Roman" w:eastAsia="Arial" w:hAnsi="Times New Roman" w:cs="Times New Roman"/>
          <w:noProof/>
          <w:sz w:val="28"/>
          <w:szCs w:val="28"/>
        </w:rPr>
      </w:pPr>
      <w:r w:rsidRPr="001F3F26">
        <w:rPr>
          <w:rFonts w:ascii="Times New Roman" w:eastAsia="Arial" w:hAnsi="Times New Roman" w:cs="Times New Roman"/>
          <w:noProof/>
          <w:sz w:val="28"/>
          <w:szCs w:val="28"/>
        </w:rPr>
        <w:t>Có tới 50,95 triệu hồ sơ “trôi nổi” như vậy, trong đó 22,15 triệu trường hợp (khoảng 43%) là cho những người dưới 60 tuổi và 28,8 triệu trường hợp (khoảng 57%) là cho những người trên 60 tuổi. Điều này có nghĩa là có tới 28,8 triệu người trên 60 tuổi đã mất đi một phần hoặc toàn bộ</w:t>
      </w:r>
      <w:r w:rsidRPr="001F3F26">
        <w:rPr>
          <w:rFonts w:ascii="Times New Roman" w:eastAsia="Arial" w:hAnsi="Times New Roman" w:cs="Times New Roman"/>
          <w:noProof/>
          <w:sz w:val="28"/>
          <w:szCs w:val="28"/>
          <w:vertAlign w:val="superscript"/>
        </w:rPr>
        <w:endnoteReference w:id="1"/>
      </w:r>
      <w:r w:rsidRPr="001F3F26">
        <w:rPr>
          <w:rFonts w:ascii="Times New Roman" w:eastAsia="Arial" w:hAnsi="Times New Roman" w:cs="Times New Roman"/>
          <w:noProof/>
          <w:sz w:val="28"/>
          <w:szCs w:val="28"/>
        </w:rPr>
        <w:t xml:space="preserve"> quyền lợi hưu trí của mình và 22,15 triệu người dưới 60 tuổi có nguy cơ mất quyền lợi nếu những hồ sơ này không tìm thấy chủ. Sự quản lý yếu kém này đã trở thành một vụ bê bối quốc gia, góp phần sự sụp đổ của chính quyền Abe trong cuộc bầu cử Thượng viện vào tháng 7/2007</w:t>
      </w:r>
      <w:r w:rsidRPr="001F3F26">
        <w:rPr>
          <w:rFonts w:ascii="Times New Roman" w:eastAsia="Arial" w:hAnsi="Times New Roman" w:cs="Times New Roman"/>
          <w:noProof/>
          <w:sz w:val="28"/>
          <w:szCs w:val="28"/>
          <w:vertAlign w:val="superscript"/>
        </w:rPr>
        <w:endnoteReference w:id="2"/>
      </w:r>
      <w:r w:rsidRPr="001F3F26">
        <w:rPr>
          <w:rFonts w:ascii="Times New Roman" w:eastAsia="Arial" w:hAnsi="Times New Roman" w:cs="Times New Roman"/>
          <w:noProof/>
          <w:sz w:val="28"/>
          <w:szCs w:val="28"/>
        </w:rPr>
        <w:t xml:space="preserve">. </w:t>
      </w:r>
    </w:p>
    <w:p w:rsidR="001F3F26" w:rsidRPr="001F3F26" w:rsidRDefault="001F3F26" w:rsidP="001F3F26">
      <w:pPr>
        <w:spacing w:before="120" w:after="0"/>
        <w:ind w:firstLine="720"/>
        <w:jc w:val="both"/>
        <w:rPr>
          <w:rFonts w:ascii="Times New Roman" w:eastAsia="Arial" w:hAnsi="Times New Roman" w:cs="Times New Roman"/>
          <w:noProof/>
          <w:sz w:val="28"/>
          <w:szCs w:val="28"/>
        </w:rPr>
      </w:pPr>
      <w:r w:rsidRPr="001F3F26">
        <w:rPr>
          <w:rFonts w:ascii="Times New Roman" w:eastAsia="Arial" w:hAnsi="Times New Roman" w:cs="Times New Roman"/>
          <w:noProof/>
          <w:sz w:val="28"/>
          <w:szCs w:val="28"/>
        </w:rPr>
        <w:t>Cuối năm 2007, ông Abe từ chức, kết thúc nhiệm kỳ Thủ tướng đầu tiên của mình. Cơ quan BHXH Nhật Bản (SIA) được tách ra thành hai cơ quan là Bảo hiểm y tế quốc gia (National Health Insurance - NHI), bắt đầu hoạt động vào tháng 10/2008 và Công ty Dịch vụ hưu trí Nhật Bản (Japan Pension Service - JPS), bắt đầu hoạt động từ tháng 01/2010 cho tới nay.</w:t>
      </w:r>
    </w:p>
    <w:p w:rsidR="001F3F26" w:rsidRPr="001F3F26" w:rsidRDefault="00EE7CFF" w:rsidP="001F3F26">
      <w:pPr>
        <w:spacing w:before="120" w:after="0"/>
        <w:ind w:firstLine="720"/>
        <w:jc w:val="both"/>
        <w:outlineLvl w:val="2"/>
        <w:rPr>
          <w:rFonts w:ascii="Times New Roman" w:eastAsiaTheme="majorEastAsia" w:hAnsi="Times New Roman" w:cs="Times New Roman"/>
          <w:b/>
          <w:bCs/>
          <w:i/>
          <w:spacing w:val="4"/>
          <w:sz w:val="28"/>
          <w:szCs w:val="28"/>
          <w:lang w:val="sv-SE"/>
        </w:rPr>
      </w:pPr>
      <w:r>
        <w:rPr>
          <w:rFonts w:ascii="Times New Roman" w:eastAsiaTheme="majorEastAsia" w:hAnsi="Times New Roman" w:cs="Times New Roman"/>
          <w:b/>
          <w:bCs/>
          <w:i/>
          <w:spacing w:val="4"/>
          <w:sz w:val="28"/>
          <w:szCs w:val="28"/>
          <w:lang w:val="sv-SE"/>
        </w:rPr>
        <w:t>1.2.</w:t>
      </w:r>
      <w:r w:rsidR="009120C8">
        <w:rPr>
          <w:rFonts w:ascii="Times New Roman" w:eastAsiaTheme="majorEastAsia" w:hAnsi="Times New Roman" w:cs="Times New Roman"/>
          <w:b/>
          <w:bCs/>
          <w:i/>
          <w:spacing w:val="4"/>
          <w:sz w:val="28"/>
          <w:szCs w:val="28"/>
          <w:lang w:val="sv-SE"/>
        </w:rPr>
        <w:t xml:space="preserve"> </w:t>
      </w:r>
      <w:r w:rsidR="001F3F26" w:rsidRPr="001F3F26">
        <w:rPr>
          <w:rFonts w:ascii="Times New Roman" w:eastAsiaTheme="majorEastAsia" w:hAnsi="Times New Roman" w:cs="Times New Roman"/>
          <w:b/>
          <w:bCs/>
          <w:i/>
          <w:spacing w:val="4"/>
          <w:sz w:val="28"/>
          <w:szCs w:val="28"/>
          <w:lang w:val="sv-SE"/>
        </w:rPr>
        <w:t>Công ty dịch vụ hưu trí Nhật Bản (JPS)</w:t>
      </w:r>
    </w:p>
    <w:p w:rsidR="001F3F26" w:rsidRPr="001F3F26" w:rsidRDefault="00EE7CFF" w:rsidP="001F3F26">
      <w:pPr>
        <w:spacing w:before="120" w:after="0"/>
        <w:ind w:firstLine="720"/>
        <w:jc w:val="both"/>
        <w:outlineLvl w:val="3"/>
        <w:rPr>
          <w:rFonts w:ascii="Times New Roman" w:hAnsi="Times New Roman" w:cs="Times New Roman"/>
          <w:i/>
          <w:sz w:val="28"/>
          <w:szCs w:val="28"/>
          <w:lang w:val="sv-SE"/>
        </w:rPr>
      </w:pPr>
      <w:r>
        <w:rPr>
          <w:rFonts w:ascii="Times New Roman" w:hAnsi="Times New Roman" w:cs="Times New Roman"/>
          <w:i/>
          <w:sz w:val="28"/>
          <w:szCs w:val="28"/>
          <w:lang w:val="sv-SE"/>
        </w:rPr>
        <w:lastRenderedPageBreak/>
        <w:t>a)</w:t>
      </w:r>
      <w:r w:rsidR="001F3F26" w:rsidRPr="001F3F26">
        <w:rPr>
          <w:rFonts w:ascii="Times New Roman" w:hAnsi="Times New Roman" w:cs="Times New Roman"/>
          <w:i/>
          <w:sz w:val="28"/>
          <w:szCs w:val="28"/>
          <w:lang w:val="sv-SE"/>
        </w:rPr>
        <w:t xml:space="preserve"> Cơ cấu tổ chức</w:t>
      </w:r>
      <w:r w:rsidR="003A5615">
        <w:rPr>
          <w:rFonts w:ascii="Times New Roman" w:hAnsi="Times New Roman" w:cs="Times New Roman"/>
          <w:i/>
          <w:sz w:val="28"/>
          <w:szCs w:val="28"/>
          <w:lang w:val="sv-SE"/>
        </w:rPr>
        <w:t>:</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Cơ quan dịch vụ hưu trí Nhật Bản (JPS) là một tổ chức công đặc biệt mà người lao động làm việc tại đó không phải là công chức, viên chức Chính phủ.</w:t>
      </w:r>
      <w:r w:rsidR="009120C8">
        <w:rPr>
          <w:rFonts w:ascii="Times New Roman" w:hAnsi="Times New Roman" w:cs="Times New Roman"/>
          <w:sz w:val="28"/>
          <w:szCs w:val="28"/>
        </w:rPr>
        <w:t xml:space="preserve"> </w:t>
      </w:r>
      <w:r w:rsidRPr="001F3F26">
        <w:rPr>
          <w:rFonts w:ascii="Times New Roman" w:hAnsi="Times New Roman" w:cs="Times New Roman"/>
          <w:sz w:val="28"/>
          <w:szCs w:val="28"/>
        </w:rPr>
        <w:t>JPS thành lập ngày 01/01/2010 thay thế cho cơ quan Bảo hiểm xã hội (đã giải thể). Tính đến ngày 01/4/2017, tổng số nhân viên là 22.000 người, trong đó có gần 11 nghìn người làm việc thường xuyên, khoảng 10 nghìn người làm việc theo hợp đồng với một công việc cụ thể xác định, còn lại là lao động khác.</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Ngoài Trụ sở chính, có 29 trung tâm xử lý, 2 trung tâm hưu trí (chỉ làm việc trên cơ sở dữ liệu, không trực tiếp với dịch vụ khách hàng), 78 trung tâm tư vấn hưu trí, 312 văn phòng chi nhánh ở các địa phương, 3 trung tâm giải đáp (thuê các doanh nghiệp tư nhân).</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JPS chịu trách nhiệm về hoạt động của hệ thống hưu trí công (bao gồm quản lý đối tượng, thu các khoản đóng góp, tư vấn lương hưu, chi trả chế độ) được ủy quyền và thừa lệnh của Bộ trưởng Bộ Y tế, Lao động và Phúc lợi Nhật Bản.</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Bộ Y tế, Lao động và Phúc lợi Nhật Bản (MHLW) chịu trách nhiệm về tài chính và quản lý quỹ hưu trí, trong khi đó việc thực hiện và cung cấp dịch vụ được giao cho cơ quan JPS. Tham mưu giúp việc cho Bộ trưởng có Cục Hưu trí được chia thành 8 phòng với 200 công chức.</w:t>
      </w:r>
      <w:r w:rsidR="009120C8">
        <w:rPr>
          <w:rFonts w:ascii="Times New Roman" w:hAnsi="Times New Roman" w:cs="Times New Roman"/>
          <w:sz w:val="28"/>
          <w:szCs w:val="28"/>
        </w:rPr>
        <w:t xml:space="preserve"> </w:t>
      </w:r>
      <w:r w:rsidRPr="001F3F26">
        <w:rPr>
          <w:rFonts w:ascii="Times New Roman" w:hAnsi="Times New Roman" w:cs="Times New Roman"/>
          <w:sz w:val="28"/>
          <w:szCs w:val="28"/>
        </w:rPr>
        <w:t>Người được bảo hiểm, người nhận trợ cấp và NSDLĐ đăng ký, báo cáo với JPS dưới sự giám sát của MHLW.</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xml:space="preserve">- Tính đến cuối tháng 3/2016, có 67,1 triệu người tham gia vào hệ thống hưu trí quốc gia và hệ thống bảo hiểm hưu trí cho người lao động, ở 1,97 triệu cơ sở làm việc và 40,25 triệu người đang hưởng lương hưu hàng tháng. </w:t>
      </w:r>
    </w:p>
    <w:p w:rsidR="001F3F26" w:rsidRPr="001F3F26" w:rsidRDefault="00EE7CFF" w:rsidP="001F3F26">
      <w:pPr>
        <w:spacing w:before="120" w:after="0"/>
        <w:ind w:firstLine="720"/>
        <w:jc w:val="both"/>
        <w:outlineLvl w:val="3"/>
        <w:rPr>
          <w:rFonts w:ascii="Times New Roman" w:hAnsi="Times New Roman" w:cs="Times New Roman"/>
          <w:iCs/>
          <w:sz w:val="28"/>
          <w:szCs w:val="28"/>
          <w:lang w:val="sv-SE"/>
        </w:rPr>
      </w:pPr>
      <w:r>
        <w:rPr>
          <w:rFonts w:ascii="Times New Roman" w:hAnsi="Times New Roman" w:cs="Times New Roman"/>
          <w:i/>
          <w:sz w:val="28"/>
          <w:szCs w:val="28"/>
          <w:lang w:val="sv-SE"/>
        </w:rPr>
        <w:t>b)</w:t>
      </w:r>
      <w:r w:rsidR="001F3F26" w:rsidRPr="001F3F26">
        <w:rPr>
          <w:rFonts w:ascii="Times New Roman" w:hAnsi="Times New Roman" w:cs="Times New Roman"/>
          <w:i/>
          <w:sz w:val="28"/>
          <w:szCs w:val="28"/>
          <w:lang w:val="sv-SE"/>
        </w:rPr>
        <w:t xml:space="preserve"> Chức năng, nhiệm vụ của JPS (5 chứ</w:t>
      </w:r>
      <w:r w:rsidR="009120C8">
        <w:rPr>
          <w:rFonts w:ascii="Times New Roman" w:hAnsi="Times New Roman" w:cs="Times New Roman"/>
          <w:i/>
          <w:sz w:val="28"/>
          <w:szCs w:val="28"/>
          <w:lang w:val="sv-SE"/>
        </w:rPr>
        <w:t xml:space="preserve">c năng), gồm: </w:t>
      </w:r>
      <w:r w:rsidR="001F3F26" w:rsidRPr="001F3F26">
        <w:rPr>
          <w:rFonts w:ascii="Times New Roman" w:hAnsi="Times New Roman" w:cs="Times New Roman"/>
          <w:iCs/>
          <w:sz w:val="28"/>
          <w:szCs w:val="28"/>
          <w:lang w:val="sv-SE"/>
        </w:rPr>
        <w:t>Xác nhận việc tham gia (vào và ra khỏi hệ thống); Thu phí bảo hiểm; Nhận báo cáo và đơn đăng ký; Xác định mức trợ cấp tiêu chuẩn; Cấp sổ hưu trí.</w:t>
      </w:r>
    </w:p>
    <w:p w:rsidR="001F3F26" w:rsidRPr="001F3F26" w:rsidRDefault="00EE7CFF" w:rsidP="009120C8">
      <w:pPr>
        <w:spacing w:before="120" w:after="0"/>
        <w:ind w:firstLine="720"/>
        <w:jc w:val="both"/>
        <w:outlineLvl w:val="3"/>
        <w:rPr>
          <w:rFonts w:ascii="Times New Roman" w:hAnsi="Times New Roman" w:cs="Times New Roman"/>
          <w:sz w:val="28"/>
          <w:szCs w:val="28"/>
        </w:rPr>
      </w:pPr>
      <w:r>
        <w:rPr>
          <w:rFonts w:ascii="Times New Roman" w:hAnsi="Times New Roman" w:cs="Times New Roman"/>
          <w:i/>
          <w:sz w:val="28"/>
          <w:szCs w:val="28"/>
          <w:lang w:val="sv-SE"/>
        </w:rPr>
        <w:t>c)</w:t>
      </w:r>
      <w:r w:rsidR="001F3F26" w:rsidRPr="001F3F26">
        <w:rPr>
          <w:rFonts w:ascii="Times New Roman" w:hAnsi="Times New Roman" w:cs="Times New Roman"/>
          <w:i/>
          <w:sz w:val="28"/>
          <w:szCs w:val="28"/>
          <w:lang w:val="sv-SE"/>
        </w:rPr>
        <w:t xml:space="preserve"> Các nhiệm vụ được Bộ trưởng Bộ Y tế, Lao động và Phúc lợi (MHLW) ủy quyề</w:t>
      </w:r>
      <w:r w:rsidR="009120C8">
        <w:rPr>
          <w:rFonts w:ascii="Times New Roman" w:hAnsi="Times New Roman" w:cs="Times New Roman"/>
          <w:i/>
          <w:sz w:val="28"/>
          <w:szCs w:val="28"/>
          <w:lang w:val="sv-SE"/>
        </w:rPr>
        <w:t xml:space="preserve">n, gồm: </w:t>
      </w:r>
      <w:r w:rsidR="001F3F26" w:rsidRPr="001F3F26">
        <w:rPr>
          <w:rFonts w:ascii="Times New Roman" w:hAnsi="Times New Roman" w:cs="Times New Roman"/>
          <w:sz w:val="28"/>
          <w:szCs w:val="28"/>
        </w:rPr>
        <w:t>Xác nhận quyền hưởng các chế độ; chi trả chế độ; lưu trữ dữ liệu; nhắc nhở việc đóng góp.</w:t>
      </w:r>
    </w:p>
    <w:p w:rsidR="001F3F26" w:rsidRPr="001F3F26" w:rsidRDefault="00EE7CFF" w:rsidP="001F3F26">
      <w:pPr>
        <w:spacing w:before="120" w:after="0"/>
        <w:ind w:firstLine="720"/>
        <w:jc w:val="both"/>
        <w:outlineLvl w:val="3"/>
        <w:rPr>
          <w:rFonts w:ascii="Times New Roman" w:hAnsi="Times New Roman" w:cs="Times New Roman"/>
          <w:i/>
          <w:sz w:val="28"/>
          <w:szCs w:val="28"/>
          <w:lang w:val="sv-SE"/>
        </w:rPr>
      </w:pPr>
      <w:r>
        <w:rPr>
          <w:rFonts w:ascii="Times New Roman" w:hAnsi="Times New Roman" w:cs="Times New Roman"/>
          <w:i/>
          <w:sz w:val="28"/>
          <w:szCs w:val="28"/>
          <w:lang w:val="sv-SE"/>
        </w:rPr>
        <w:t>d)</w:t>
      </w:r>
      <w:r w:rsidR="001F3F26" w:rsidRPr="001F3F26">
        <w:rPr>
          <w:rFonts w:ascii="Times New Roman" w:hAnsi="Times New Roman" w:cs="Times New Roman"/>
          <w:i/>
          <w:sz w:val="28"/>
          <w:szCs w:val="28"/>
          <w:lang w:val="sv-SE"/>
        </w:rPr>
        <w:t xml:space="preserve"> Nguyên tắc hoạt động của JPS và 5 điểm cốt yếu</w:t>
      </w:r>
      <w:r w:rsidR="003A5615">
        <w:rPr>
          <w:rFonts w:ascii="Times New Roman" w:hAnsi="Times New Roman" w:cs="Times New Roman"/>
          <w:i/>
          <w:sz w:val="28"/>
          <w:szCs w:val="28"/>
          <w:lang w:val="sv-SE"/>
        </w:rPr>
        <w:t>:</w:t>
      </w:r>
    </w:p>
    <w:p w:rsidR="001F3F26" w:rsidRPr="001F3F26" w:rsidRDefault="001F3F26" w:rsidP="001F3F26">
      <w:pPr>
        <w:spacing w:before="120" w:after="0"/>
        <w:ind w:firstLine="720"/>
        <w:jc w:val="both"/>
        <w:rPr>
          <w:rFonts w:ascii="Times New Roman" w:hAnsi="Times New Roman" w:cs="Times New Roman"/>
          <w:b/>
          <w:i/>
          <w:sz w:val="28"/>
          <w:szCs w:val="28"/>
        </w:rPr>
      </w:pPr>
      <w:r w:rsidRPr="001F3F26">
        <w:rPr>
          <w:rFonts w:ascii="Times New Roman" w:hAnsi="Times New Roman" w:cs="Times New Roman"/>
          <w:iCs/>
          <w:sz w:val="28"/>
          <w:szCs w:val="28"/>
        </w:rPr>
        <w:t xml:space="preserve">Nguyên tắc hoạt động của JPS: </w:t>
      </w:r>
      <w:r w:rsidRPr="001F3F26">
        <w:rPr>
          <w:rFonts w:ascii="Times New Roman" w:hAnsi="Times New Roman" w:cs="Times New Roman"/>
          <w:sz w:val="28"/>
          <w:szCs w:val="28"/>
        </w:rPr>
        <w:t xml:space="preserve">Hệ thống hưu trí do chính phủ quản lý sẽ được vận hành ổn định và bền vững, dựa trên </w:t>
      </w:r>
      <w:r w:rsidRPr="001F3F26">
        <w:rPr>
          <w:rFonts w:ascii="Times New Roman" w:hAnsi="Times New Roman" w:cs="Times New Roman"/>
          <w:bCs/>
          <w:sz w:val="28"/>
          <w:szCs w:val="28"/>
        </w:rPr>
        <w:t>niềm tin</w:t>
      </w:r>
      <w:r w:rsidRPr="001F3F26">
        <w:rPr>
          <w:rFonts w:ascii="Times New Roman" w:hAnsi="Times New Roman" w:cs="Times New Roman"/>
          <w:sz w:val="28"/>
          <w:szCs w:val="28"/>
        </w:rPr>
        <w:t xml:space="preserve"> của công chúng và nguyên tắc liên đới. Do đó, JPS sẽ cố gắng để có được dịch vụ chất lượng cao hơn, phản ánh nhu cầu và ý kiến của người dân đối với hệ thống hưu trí của chính phủ; đảm bảo hiệu quả, công bằng và minh bạch trong hoạt động. </w:t>
      </w:r>
      <w:r w:rsidR="003A5615">
        <w:rPr>
          <w:rFonts w:ascii="Times New Roman" w:hAnsi="Times New Roman" w:cs="Times New Roman"/>
          <w:sz w:val="28"/>
          <w:szCs w:val="28"/>
        </w:rPr>
        <w:t xml:space="preserve">5 </w:t>
      </w:r>
      <w:r w:rsidRPr="001F3F26">
        <w:rPr>
          <w:rFonts w:ascii="Times New Roman" w:hAnsi="Times New Roman" w:cs="Times New Roman"/>
          <w:iCs/>
          <w:sz w:val="28"/>
          <w:szCs w:val="28"/>
        </w:rPr>
        <w:t>điểm cốt yếu:</w:t>
      </w:r>
      <w:r w:rsidRPr="001F3F26">
        <w:rPr>
          <w:rFonts w:ascii="Times New Roman" w:hAnsi="Times New Roman" w:cs="Times New Roman"/>
          <w:i/>
          <w:sz w:val="28"/>
          <w:szCs w:val="28"/>
        </w:rPr>
        <w:t xml:space="preserve"> </w:t>
      </w:r>
      <w:r w:rsidRPr="001F3F26">
        <w:rPr>
          <w:rFonts w:ascii="Times New Roman" w:hAnsi="Times New Roman" w:cs="Times New Roman"/>
          <w:sz w:val="28"/>
          <w:szCs w:val="28"/>
        </w:rPr>
        <w:t xml:space="preserve">(i) Sự tin tưởng của cộng đồng; (ii) Phản ánh, đáp ứng được mong muốn của người dân; </w:t>
      </w:r>
      <w:r w:rsidRPr="001F3F26">
        <w:rPr>
          <w:rFonts w:ascii="Times New Roman" w:hAnsi="Times New Roman" w:cs="Times New Roman"/>
          <w:sz w:val="28"/>
          <w:szCs w:val="28"/>
        </w:rPr>
        <w:lastRenderedPageBreak/>
        <w:t>(iii) Chất lượng dịch vụ cao hơn; (iv) Hoạt động hiệu quả; (v) Công bằng, minh bạch.</w:t>
      </w:r>
    </w:p>
    <w:p w:rsidR="001F3F26" w:rsidRPr="001F3F26" w:rsidRDefault="00EE7CFF" w:rsidP="003A5615">
      <w:pPr>
        <w:spacing w:before="120" w:after="0"/>
        <w:ind w:firstLine="720"/>
        <w:jc w:val="both"/>
        <w:outlineLvl w:val="3"/>
        <w:rPr>
          <w:rFonts w:ascii="Times New Roman" w:hAnsi="Times New Roman" w:cs="Times New Roman"/>
          <w:sz w:val="28"/>
          <w:szCs w:val="28"/>
        </w:rPr>
      </w:pPr>
      <w:r>
        <w:rPr>
          <w:rFonts w:ascii="Times New Roman" w:hAnsi="Times New Roman" w:cs="Times New Roman"/>
          <w:i/>
          <w:sz w:val="28"/>
          <w:szCs w:val="28"/>
          <w:lang w:val="sv-SE"/>
        </w:rPr>
        <w:t>đ)</w:t>
      </w:r>
      <w:r w:rsidR="001F3F26" w:rsidRPr="001F3F26">
        <w:rPr>
          <w:rFonts w:ascii="Times New Roman" w:hAnsi="Times New Roman" w:cs="Times New Roman"/>
          <w:i/>
          <w:sz w:val="28"/>
          <w:szCs w:val="28"/>
          <w:lang w:val="sv-SE"/>
        </w:rPr>
        <w:t xml:space="preserve"> Phương thức hoạt động</w:t>
      </w:r>
      <w:r w:rsidR="003A5615">
        <w:rPr>
          <w:rFonts w:ascii="Times New Roman" w:hAnsi="Times New Roman" w:cs="Times New Roman"/>
          <w:i/>
          <w:sz w:val="28"/>
          <w:szCs w:val="28"/>
          <w:lang w:val="sv-SE"/>
        </w:rPr>
        <w:t xml:space="preserve">: </w:t>
      </w:r>
      <w:r w:rsidR="001F3F26" w:rsidRPr="001F3F26">
        <w:rPr>
          <w:rFonts w:ascii="Times New Roman" w:hAnsi="Times New Roman" w:cs="Times New Roman"/>
          <w:sz w:val="28"/>
          <w:szCs w:val="28"/>
        </w:rPr>
        <w:t>Trụ sở của JPS, các văn phòng chi nhánh ở địa phương và trung tâm xử lý được kết nối thông qua một hệ thống trực tuyến. Người tham gia thông qua nơi làm việc và người thụ hưởng thông qua các cơ sở ở địa phương để kết ndối với 312 văn phòng chi nhánh ở địa phương và 29 trung tâm xử lý. Những cơ quan này sẽ làm việc trực tuyến với trụ sở của JPS.</w:t>
      </w:r>
    </w:p>
    <w:p w:rsidR="003A5615" w:rsidRDefault="00EE7CFF" w:rsidP="003A5615">
      <w:pPr>
        <w:spacing w:before="120" w:after="0"/>
        <w:ind w:firstLine="720"/>
        <w:jc w:val="both"/>
        <w:outlineLvl w:val="3"/>
        <w:rPr>
          <w:rFonts w:ascii="Times New Roman" w:hAnsi="Times New Roman" w:cs="Times New Roman"/>
          <w:i/>
          <w:sz w:val="28"/>
          <w:szCs w:val="28"/>
          <w:lang w:val="sv-SE"/>
        </w:rPr>
      </w:pPr>
      <w:r>
        <w:rPr>
          <w:rFonts w:ascii="Times New Roman" w:hAnsi="Times New Roman" w:cs="Times New Roman"/>
          <w:i/>
          <w:sz w:val="28"/>
          <w:szCs w:val="28"/>
          <w:lang w:val="sv-SE"/>
        </w:rPr>
        <w:t>e)</w:t>
      </w:r>
      <w:r w:rsidR="001F3F26" w:rsidRPr="001F3F26">
        <w:rPr>
          <w:rFonts w:ascii="Times New Roman" w:hAnsi="Times New Roman" w:cs="Times New Roman"/>
          <w:i/>
          <w:sz w:val="28"/>
          <w:szCs w:val="28"/>
          <w:lang w:val="sv-SE"/>
        </w:rPr>
        <w:t xml:space="preserve"> Thu phí bảo hiểm</w:t>
      </w:r>
      <w:r w:rsidR="003A5615">
        <w:rPr>
          <w:rFonts w:ascii="Times New Roman" w:hAnsi="Times New Roman" w:cs="Times New Roman"/>
          <w:i/>
          <w:sz w:val="28"/>
          <w:szCs w:val="28"/>
          <w:lang w:val="sv-SE"/>
        </w:rPr>
        <w:t xml:space="preserve">: </w:t>
      </w:r>
    </w:p>
    <w:p w:rsidR="001F3F26" w:rsidRPr="001F3F26" w:rsidRDefault="003A5615" w:rsidP="003A5615">
      <w:pPr>
        <w:spacing w:before="120" w:after="0"/>
        <w:ind w:firstLine="720"/>
        <w:jc w:val="both"/>
        <w:outlineLvl w:val="3"/>
        <w:rPr>
          <w:rFonts w:ascii="Times New Roman" w:hAnsi="Times New Roman" w:cs="Times New Roman"/>
          <w:sz w:val="28"/>
          <w:szCs w:val="28"/>
        </w:rPr>
      </w:pPr>
      <w:r>
        <w:rPr>
          <w:rFonts w:ascii="Times New Roman" w:hAnsi="Times New Roman" w:cs="Times New Roman"/>
          <w:i/>
          <w:sz w:val="28"/>
          <w:szCs w:val="28"/>
          <w:lang w:val="sv-SE"/>
        </w:rPr>
        <w:t xml:space="preserve">- </w:t>
      </w:r>
      <w:r w:rsidR="001F3F26" w:rsidRPr="001F3F26">
        <w:rPr>
          <w:rFonts w:ascii="Times New Roman" w:hAnsi="Times New Roman" w:cs="Times New Roman"/>
          <w:sz w:val="28"/>
          <w:szCs w:val="28"/>
        </w:rPr>
        <w:t>Đối với hệ thống bảo hiểm y tế và bảo hiểm hưu trí cho người lao động: NLĐ hưởng lương đóng thông qua NSDLĐ (phí BH trừ vào lương) tới các văn phòng chi nhánh của JPS, các văn phòng này sẽ trực tiếp thu các khoản đóng góp, xác nhận thông tin, cấp hóa đơn và trả sổ bảo hiểm cho NLĐ thông qua NSDLĐ. Các văn phòng chi nhánh sẽ kết nối trực tuyến với trụ sở của JPS để cập nhật, lưu trữ các dữ liệu về hệ thống.</w:t>
      </w:r>
    </w:p>
    <w:p w:rsidR="001F3F26" w:rsidRPr="001F3F26" w:rsidRDefault="003A5615" w:rsidP="001F3F26">
      <w:pPr>
        <w:spacing w:before="120" w:after="0"/>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1F3F26" w:rsidRPr="001F3F26">
        <w:rPr>
          <w:rFonts w:ascii="Times New Roman" w:hAnsi="Times New Roman" w:cs="Times New Roman"/>
          <w:sz w:val="28"/>
          <w:szCs w:val="28"/>
        </w:rPr>
        <w:t>Đối với hệ thống hưu trí quốc gia: Người lao động tự làm đăng ký trực tiếp hoặc thông qua các cơ sở ở địa phương đến văn phòng chi nhánh của JPS, các văn phòng này sẽ trực tiếp thu các khoản đóng góp, xác nhận thông tin, cấp hóa đơn và trả sổ bảo hiểm trực tiếp cho NLĐ. Các văn phòng chi nhánh sẽ kết nối trực tuyến với trụ sở của JPS để cập nhật, lưu trữ các dữ liệu về hệ thống.</w:t>
      </w:r>
    </w:p>
    <w:p w:rsidR="001F3F26" w:rsidRPr="001F3F26" w:rsidRDefault="00EE7CFF" w:rsidP="001F3F26">
      <w:pPr>
        <w:spacing w:before="120" w:after="0"/>
        <w:ind w:firstLine="720"/>
        <w:jc w:val="both"/>
        <w:outlineLvl w:val="3"/>
        <w:rPr>
          <w:rFonts w:ascii="Times New Roman" w:hAnsi="Times New Roman" w:cs="Times New Roman"/>
          <w:i/>
          <w:sz w:val="28"/>
          <w:szCs w:val="28"/>
          <w:lang w:val="sv-SE"/>
        </w:rPr>
      </w:pPr>
      <w:r>
        <w:rPr>
          <w:rFonts w:ascii="Times New Roman" w:hAnsi="Times New Roman" w:cs="Times New Roman"/>
          <w:i/>
          <w:sz w:val="28"/>
          <w:szCs w:val="28"/>
          <w:lang w:val="sv-SE"/>
        </w:rPr>
        <w:t>f)</w:t>
      </w:r>
      <w:r w:rsidR="001F3F26" w:rsidRPr="001F3F26">
        <w:rPr>
          <w:rFonts w:ascii="Times New Roman" w:hAnsi="Times New Roman" w:cs="Times New Roman"/>
          <w:i/>
          <w:sz w:val="28"/>
          <w:szCs w:val="28"/>
          <w:lang w:val="sv-SE"/>
        </w:rPr>
        <w:t xml:space="preserve"> Việc xác nhận và chi trả lương hưu</w:t>
      </w:r>
      <w:r w:rsidR="003A5615">
        <w:rPr>
          <w:rFonts w:ascii="Times New Roman" w:hAnsi="Times New Roman" w:cs="Times New Roman"/>
          <w:i/>
          <w:sz w:val="28"/>
          <w:szCs w:val="28"/>
          <w:lang w:val="sv-SE"/>
        </w:rPr>
        <w:t>:</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Người được bảo hiểm điền vào mẫu đăng ký và gửi cho văn phòng JPS ở địa phương. Các văn phòng này sẽ tiến hành kiểm tra điều kiện và gửi dữ liệu trực tuyến cho trụ sở của JPS. Sau đó, trụ sở JPS sẽ chuyển trực tuyến các dữ liệu xác nhận hưu trí về cho văn phòng JPS địa phương để xử lý và cấp chứng nhận hưu trí cho người được hưởng đồng thời sẽ tiến hành chi trả lương hưu qua ngân hàng hoặc bưu điện (6 lần 1 năm vào các tháng 2, 4, 6, 8, 10 và 12).</w:t>
      </w:r>
    </w:p>
    <w:p w:rsidR="001F3F26" w:rsidRPr="001F3F26" w:rsidRDefault="00EE7CFF" w:rsidP="001F3F26">
      <w:pPr>
        <w:spacing w:before="120" w:after="0"/>
        <w:ind w:firstLine="720"/>
        <w:jc w:val="both"/>
        <w:outlineLvl w:val="2"/>
        <w:rPr>
          <w:rFonts w:ascii="Times New Roman" w:eastAsiaTheme="majorEastAsia" w:hAnsi="Times New Roman" w:cs="Times New Roman"/>
          <w:b/>
          <w:bCs/>
          <w:i/>
          <w:spacing w:val="4"/>
          <w:sz w:val="28"/>
          <w:szCs w:val="28"/>
          <w:lang w:val="sv-SE"/>
        </w:rPr>
      </w:pPr>
      <w:r>
        <w:rPr>
          <w:rFonts w:ascii="Times New Roman" w:eastAsiaTheme="majorEastAsia" w:hAnsi="Times New Roman" w:cs="Times New Roman"/>
          <w:b/>
          <w:bCs/>
          <w:i/>
          <w:spacing w:val="4"/>
          <w:sz w:val="28"/>
          <w:szCs w:val="28"/>
          <w:lang w:val="sv-SE"/>
        </w:rPr>
        <w:t>1.3.</w:t>
      </w:r>
      <w:r w:rsidR="003A5615">
        <w:rPr>
          <w:rFonts w:ascii="Times New Roman" w:eastAsiaTheme="majorEastAsia" w:hAnsi="Times New Roman" w:cs="Times New Roman"/>
          <w:b/>
          <w:bCs/>
          <w:i/>
          <w:spacing w:val="4"/>
          <w:sz w:val="28"/>
          <w:szCs w:val="28"/>
          <w:lang w:val="sv-SE"/>
        </w:rPr>
        <w:t xml:space="preserve"> </w:t>
      </w:r>
      <w:r w:rsidR="001F3F26" w:rsidRPr="001F3F26">
        <w:rPr>
          <w:rFonts w:ascii="Times New Roman" w:eastAsiaTheme="majorEastAsia" w:hAnsi="Times New Roman" w:cs="Times New Roman"/>
          <w:b/>
          <w:bCs/>
          <w:i/>
          <w:spacing w:val="4"/>
          <w:sz w:val="28"/>
          <w:szCs w:val="28"/>
          <w:lang w:val="sv-SE"/>
        </w:rPr>
        <w:t>Bài học rút ra cho Việt Nam</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Trong bối cảnh hiện nay BHXH Việt Nam đang quản lý khoảng 1</w:t>
      </w:r>
      <w:r w:rsidR="00C0214C">
        <w:rPr>
          <w:rFonts w:ascii="Times New Roman" w:hAnsi="Times New Roman" w:cs="Times New Roman"/>
          <w:sz w:val="28"/>
          <w:szCs w:val="28"/>
        </w:rPr>
        <w:t>7</w:t>
      </w:r>
      <w:r w:rsidRPr="001F3F26">
        <w:rPr>
          <w:rFonts w:ascii="Times New Roman" w:hAnsi="Times New Roman" w:cs="Times New Roman"/>
          <w:sz w:val="28"/>
          <w:szCs w:val="28"/>
        </w:rPr>
        <w:t xml:space="preserve"> triệu người tham gia và hơn 3 triệu người hưởng lương hưu. Thời gian tới cùng với chủ trương của Trung ương và Chính phủ hướng tới BHXH toàn dân, đối tượng gia tăng nhanh chóng, nếu không thay đổi cách thức quản lý sẽ rất dễ lặp lại thất bại mà Nhật Bản đã từng gặp phải.</w:t>
      </w:r>
    </w:p>
    <w:p w:rsidR="001F3F26" w:rsidRPr="001F3F26" w:rsidRDefault="001F3F26" w:rsidP="001F3F26">
      <w:pPr>
        <w:spacing w:before="120" w:after="0"/>
        <w:ind w:firstLine="720"/>
        <w:jc w:val="both"/>
        <w:outlineLvl w:val="3"/>
        <w:rPr>
          <w:rFonts w:ascii="Times New Roman" w:hAnsi="Times New Roman" w:cs="Times New Roman"/>
          <w:i/>
          <w:sz w:val="28"/>
          <w:szCs w:val="28"/>
          <w:lang w:val="sv-SE"/>
        </w:rPr>
      </w:pPr>
      <w:r w:rsidRPr="001F3F26">
        <w:rPr>
          <w:rFonts w:ascii="Times New Roman" w:hAnsi="Times New Roman" w:cs="Times New Roman"/>
          <w:i/>
          <w:sz w:val="28"/>
          <w:szCs w:val="28"/>
          <w:lang w:val="sv-SE"/>
        </w:rPr>
        <w:t>Một là, phải có tổ chức giúp việc đủ mạnh tham mưu nhằm nâng cao hiệu lực, hiệu quả quản lý nhà nước về BHXH</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lastRenderedPageBreak/>
        <w:t>Cùng với xu hướng đối tượng tham gia BHXH ngày càng gia tăng; hội nhập quốc tế trong lĩnh vực BHXH ngày càng sâu rộng dẫn đến việc đàm phán các hiệp định song phương về BHXH ngày càng nhiều; đòi hỏi của xã hội đối với lĩnh vực BHXH nói chung, công tác quản lý nhà nước về BHXH ngày càng cao hơn. Vì vậy, nhất thiết phải có một bộ máy đủ về nhân sự và cơ cấu tổ chức phù hợp để tham mưu, giúp việc cho Bộ trưởng nâng cao hiệu lực, hiệu quả quản lý nhà nước về bảo hiểm xã hội.</w:t>
      </w:r>
    </w:p>
    <w:p w:rsidR="001F3F26" w:rsidRPr="001F3F26" w:rsidRDefault="001F3F26" w:rsidP="001F3F26">
      <w:pPr>
        <w:spacing w:before="120" w:after="0"/>
        <w:ind w:firstLine="720"/>
        <w:jc w:val="both"/>
        <w:outlineLvl w:val="3"/>
        <w:rPr>
          <w:rFonts w:ascii="Times New Roman" w:hAnsi="Times New Roman" w:cs="Times New Roman"/>
          <w:i/>
          <w:sz w:val="28"/>
          <w:szCs w:val="28"/>
          <w:lang w:val="sv-SE"/>
        </w:rPr>
      </w:pPr>
      <w:r w:rsidRPr="001F3F26">
        <w:rPr>
          <w:rFonts w:ascii="Times New Roman" w:hAnsi="Times New Roman" w:cs="Times New Roman"/>
          <w:i/>
          <w:sz w:val="28"/>
          <w:szCs w:val="28"/>
          <w:lang w:val="sv-SE"/>
        </w:rPr>
        <w:t>Hai là, kiểm soát chặt chẽ dữ liệu của người tham gia và thụ hưởng BHXH</w:t>
      </w:r>
    </w:p>
    <w:p w:rsidR="001F3F26" w:rsidRPr="001F3F26" w:rsidRDefault="00486AD4" w:rsidP="001F3F26">
      <w:pPr>
        <w:spacing w:before="120" w:after="0"/>
        <w:ind w:firstLine="720"/>
        <w:jc w:val="both"/>
        <w:rPr>
          <w:rFonts w:ascii="Times New Roman" w:hAnsi="Times New Roman" w:cs="Times New Roman"/>
          <w:sz w:val="28"/>
          <w:szCs w:val="28"/>
        </w:rPr>
      </w:pPr>
      <w:r>
        <w:rPr>
          <w:rFonts w:ascii="Times New Roman" w:hAnsi="Times New Roman" w:cs="Times New Roman"/>
          <w:sz w:val="28"/>
          <w:szCs w:val="28"/>
        </w:rPr>
        <w:t>H</w:t>
      </w:r>
      <w:r w:rsidR="001F3F26" w:rsidRPr="001F3F26">
        <w:rPr>
          <w:rFonts w:ascii="Times New Roman" w:hAnsi="Times New Roman" w:cs="Times New Roman"/>
          <w:sz w:val="28"/>
          <w:szCs w:val="28"/>
        </w:rPr>
        <w:t>ầu hết dữ liệu người tham gia BHXH có thời gian tham gia trước 2010 được cơ quan BHXH quản lý thủ</w:t>
      </w:r>
      <w:r>
        <w:rPr>
          <w:rFonts w:ascii="Times New Roman" w:hAnsi="Times New Roman" w:cs="Times New Roman"/>
          <w:sz w:val="28"/>
          <w:szCs w:val="28"/>
        </w:rPr>
        <w:t xml:space="preserve"> công. Thời gian, dữ liệu được cơ quan BHXH chỉ đạo và thực hiện chuyển nhập sang quản lý qua dữ liệu điện tử, có thông tin liên quan đến </w:t>
      </w:r>
      <w:r w:rsidR="001F3F26" w:rsidRPr="001F3F26">
        <w:rPr>
          <w:rFonts w:ascii="Times New Roman" w:hAnsi="Times New Roman" w:cs="Times New Roman"/>
          <w:sz w:val="28"/>
          <w:szCs w:val="28"/>
        </w:rPr>
        <w:t>hàng chục triệu ngườ</w:t>
      </w:r>
      <w:r>
        <w:rPr>
          <w:rFonts w:ascii="Times New Roman" w:hAnsi="Times New Roman" w:cs="Times New Roman"/>
          <w:sz w:val="28"/>
          <w:szCs w:val="28"/>
        </w:rPr>
        <w:t xml:space="preserve">i, đòi hỏi phải quản lý chính xác tránh </w:t>
      </w:r>
      <w:r w:rsidR="001F3F26" w:rsidRPr="001F3F26">
        <w:rPr>
          <w:rFonts w:ascii="Times New Roman" w:hAnsi="Times New Roman" w:cs="Times New Roman"/>
          <w:sz w:val="28"/>
          <w:szCs w:val="28"/>
        </w:rPr>
        <w:t>làm ảnh hưởng đến quyền lợi của người lao động hoặc có nguy cơ trục lợi thất thoát quỹ BHXH.</w:t>
      </w:r>
    </w:p>
    <w:p w:rsidR="001F3F26" w:rsidRPr="001F3F26" w:rsidRDefault="001F3F26" w:rsidP="001F3F26">
      <w:pPr>
        <w:spacing w:before="120" w:after="0"/>
        <w:ind w:firstLine="720"/>
        <w:jc w:val="both"/>
        <w:outlineLvl w:val="3"/>
        <w:rPr>
          <w:rFonts w:ascii="Times New Roman" w:hAnsi="Times New Roman" w:cs="Times New Roman"/>
          <w:i/>
          <w:sz w:val="28"/>
          <w:szCs w:val="28"/>
          <w:lang w:val="sv-SE"/>
        </w:rPr>
      </w:pPr>
      <w:r w:rsidRPr="001F3F26">
        <w:rPr>
          <w:rFonts w:ascii="Times New Roman" w:hAnsi="Times New Roman" w:cs="Times New Roman"/>
          <w:i/>
          <w:sz w:val="28"/>
          <w:szCs w:val="28"/>
          <w:lang w:val="sv-SE"/>
        </w:rPr>
        <w:t xml:space="preserve">Ba là, </w:t>
      </w:r>
      <w:r w:rsidR="00C0214C">
        <w:rPr>
          <w:rFonts w:ascii="Times New Roman" w:hAnsi="Times New Roman" w:cs="Times New Roman"/>
          <w:i/>
          <w:sz w:val="28"/>
          <w:szCs w:val="28"/>
          <w:lang w:val="sv-SE"/>
        </w:rPr>
        <w:t>x</w:t>
      </w:r>
      <w:r w:rsidRPr="001F3F26">
        <w:rPr>
          <w:rFonts w:ascii="Times New Roman" w:hAnsi="Times New Roman" w:cs="Times New Roman"/>
          <w:i/>
          <w:sz w:val="28"/>
          <w:szCs w:val="28"/>
          <w:lang w:val="sv-SE"/>
        </w:rPr>
        <w:t>ác định rõ vị trí pháp lý của cơ quan BHXH</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Cơ quan quản lý nhà nước về BHXH chỉ có duy nhất một đầu mối giúp Chính phủ và chịu trách nhiệm toàn diện trước Chính phủ</w:t>
      </w:r>
      <w:r w:rsidR="00486AD4">
        <w:rPr>
          <w:rFonts w:ascii="Times New Roman" w:hAnsi="Times New Roman" w:cs="Times New Roman"/>
          <w:sz w:val="28"/>
          <w:szCs w:val="28"/>
        </w:rPr>
        <w:t>. Cơ quan BHXH là cơ quan tổ chức t</w:t>
      </w:r>
      <w:r w:rsidRPr="001F3F26">
        <w:rPr>
          <w:rFonts w:ascii="Times New Roman" w:hAnsi="Times New Roman" w:cs="Times New Roman"/>
          <w:sz w:val="28"/>
          <w:szCs w:val="28"/>
        </w:rPr>
        <w:t>hực hiện chính sách BHXH</w:t>
      </w:r>
      <w:r w:rsidR="00486AD4">
        <w:rPr>
          <w:rFonts w:ascii="Times New Roman" w:hAnsi="Times New Roman" w:cs="Times New Roman"/>
          <w:sz w:val="28"/>
          <w:szCs w:val="28"/>
        </w:rPr>
        <w:t xml:space="preserve">, </w:t>
      </w:r>
      <w:r w:rsidRPr="001F3F26">
        <w:rPr>
          <w:rFonts w:ascii="Times New Roman" w:hAnsi="Times New Roman" w:cs="Times New Roman"/>
          <w:sz w:val="28"/>
          <w:szCs w:val="28"/>
        </w:rPr>
        <w:t>cung cấp dịch vụ</w:t>
      </w:r>
      <w:r w:rsidR="00486AD4">
        <w:rPr>
          <w:rFonts w:ascii="Times New Roman" w:hAnsi="Times New Roman" w:cs="Times New Roman"/>
          <w:sz w:val="28"/>
          <w:szCs w:val="28"/>
        </w:rPr>
        <w:t xml:space="preserve"> BHXH cho doanh nghiệp và người dân và </w:t>
      </w:r>
      <w:r w:rsidRPr="001F3F26">
        <w:rPr>
          <w:rFonts w:ascii="Times New Roman" w:hAnsi="Times New Roman" w:cs="Times New Roman"/>
          <w:sz w:val="28"/>
          <w:szCs w:val="28"/>
        </w:rPr>
        <w:t>chỉ được thực hiện những công việc do cơ quan quản lý nhà nước ủy quyền.</w:t>
      </w:r>
      <w:r w:rsidR="00C5319B">
        <w:rPr>
          <w:rFonts w:ascii="Times New Roman" w:hAnsi="Times New Roman" w:cs="Times New Roman"/>
          <w:sz w:val="28"/>
          <w:szCs w:val="28"/>
        </w:rPr>
        <w:t xml:space="preserve"> </w:t>
      </w:r>
    </w:p>
    <w:p w:rsidR="001F3F26" w:rsidRPr="001F3F26" w:rsidRDefault="001F3F26" w:rsidP="001F3F26">
      <w:pPr>
        <w:spacing w:before="120" w:after="0"/>
        <w:ind w:firstLine="720"/>
        <w:jc w:val="both"/>
        <w:outlineLvl w:val="1"/>
        <w:rPr>
          <w:rFonts w:ascii="Times New Roman" w:eastAsia="Times New Roman" w:hAnsi="Times New Roman" w:cs="Times New Roman"/>
          <w:b/>
          <w:color w:val="000000"/>
          <w:spacing w:val="-6"/>
          <w:sz w:val="28"/>
          <w:szCs w:val="28"/>
          <w:shd w:val="clear" w:color="auto" w:fill="FFFFFF"/>
          <w:lang w:val="sv-SE" w:eastAsia="vi-VN"/>
        </w:rPr>
      </w:pPr>
      <w:r w:rsidRPr="001F3F26">
        <w:rPr>
          <w:rFonts w:ascii="Times New Roman" w:eastAsia="Times New Roman" w:hAnsi="Times New Roman" w:cs="Times New Roman"/>
          <w:b/>
          <w:color w:val="000000"/>
          <w:spacing w:val="-6"/>
          <w:sz w:val="28"/>
          <w:szCs w:val="28"/>
          <w:shd w:val="clear" w:color="auto" w:fill="FFFFFF"/>
          <w:lang w:val="sv-SE" w:eastAsia="vi-VN"/>
        </w:rPr>
        <w:t>2. Kinh nghiệm Canada</w:t>
      </w:r>
    </w:p>
    <w:p w:rsidR="00EE7CFF" w:rsidRDefault="001F3F26" w:rsidP="00EE7CFF">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Canada thực hiện thu BHXH qua cơ quan thuế, cơ quan thuế có 45.000 nhân viên với 6 văn phòng khu vực. Cơ quan thuế kết nối thông tin với Bộ Kỹ năng nghề và nguồn nhân lực.</w:t>
      </w:r>
    </w:p>
    <w:p w:rsidR="001F3F26" w:rsidRPr="00EE7CFF" w:rsidRDefault="00EE7CFF" w:rsidP="00EE7CFF">
      <w:pPr>
        <w:spacing w:before="120" w:after="0"/>
        <w:ind w:firstLine="720"/>
        <w:jc w:val="both"/>
        <w:rPr>
          <w:rFonts w:ascii="Times New Roman" w:hAnsi="Times New Roman" w:cs="Times New Roman"/>
          <w:b/>
          <w:i/>
          <w:sz w:val="28"/>
          <w:szCs w:val="28"/>
        </w:rPr>
      </w:pPr>
      <w:r w:rsidRPr="00EE7CFF">
        <w:rPr>
          <w:rFonts w:ascii="Times New Roman" w:hAnsi="Times New Roman" w:cs="Times New Roman"/>
          <w:b/>
          <w:i/>
          <w:sz w:val="28"/>
          <w:szCs w:val="28"/>
        </w:rPr>
        <w:t xml:space="preserve">2.1. </w:t>
      </w:r>
      <w:r w:rsidR="001F3F26" w:rsidRPr="00EE7CFF">
        <w:rPr>
          <w:rFonts w:ascii="Times New Roman" w:eastAsiaTheme="majorEastAsia" w:hAnsi="Times New Roman" w:cs="Times New Roman"/>
          <w:b/>
          <w:bCs/>
          <w:i/>
          <w:spacing w:val="4"/>
          <w:sz w:val="28"/>
          <w:szCs w:val="28"/>
          <w:lang w:val="sv-SE"/>
        </w:rPr>
        <w:t>Công tác kiểm tra, thanh tra</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Hàng tháng cơ quan thuế gửi sao kê giao dịch đến từng đối tượng tham gia BHXH; người lao động xác nhận thông tin vào sao kê và gửi lại cho cơ quan thuế;</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Doanh nghiệp phải áp dụng cơ chế nhận diện (thuế, khoản thu nhập, doanh số bán hàng, số lao động làm việc tại doanh nghiệp…). Cơ quan thuế có cơ sở dữ liệu lớn nhất về doanh nghiệp và các lao động làm việc tại doanh nghiệp. Chính vì thế, cơ quan thuế theo dõi toàn bộ hoạt động kinh doanh, sử dụng lao động của doanh nghiệp. Khi doanh nghiệp đột ngột giảm mức đóng góp thì phần mềm cảnh báo sẽ hoạt động, lập tức cơ quan thuế sẽ cử người đến kiểm tra tình hình hoạt động của doanh nghiệp.</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lastRenderedPageBreak/>
        <w:t>Nếu trong vòng 1 tháng không đóng BHXH, cơ quan thuế sẽ cử người đến điều tra, nếu đến tháng thứ 3 không đóng thì thanh tra thuế đến có biện pháp bắt buộc truy thu nợ, lãi phạt chậm nộp. Đối với những trường hợp này, cơ quan thuế kiểm tra 2 tuần/lần, 1 tháng/lân.</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Nếu doanh nghiệp trốn đóng, mức phạt từ 5% đến 20%.</w:t>
      </w:r>
    </w:p>
    <w:p w:rsidR="001F3F26" w:rsidRPr="001F3F26" w:rsidRDefault="00EE7CFF" w:rsidP="001F3F26">
      <w:pPr>
        <w:spacing w:before="120" w:after="0"/>
        <w:ind w:firstLine="720"/>
        <w:jc w:val="both"/>
        <w:outlineLvl w:val="2"/>
        <w:rPr>
          <w:rFonts w:ascii="Times New Roman" w:eastAsiaTheme="majorEastAsia" w:hAnsi="Times New Roman" w:cs="Times New Roman"/>
          <w:b/>
          <w:bCs/>
          <w:i/>
          <w:spacing w:val="4"/>
          <w:sz w:val="28"/>
          <w:szCs w:val="28"/>
          <w:lang w:val="sv-SE"/>
        </w:rPr>
      </w:pPr>
      <w:r>
        <w:rPr>
          <w:rFonts w:ascii="Times New Roman" w:eastAsiaTheme="majorEastAsia" w:hAnsi="Times New Roman" w:cs="Times New Roman"/>
          <w:b/>
          <w:bCs/>
          <w:i/>
          <w:spacing w:val="4"/>
          <w:sz w:val="28"/>
          <w:szCs w:val="28"/>
          <w:lang w:val="sv-SE"/>
        </w:rPr>
        <w:t>2.2.</w:t>
      </w:r>
      <w:r w:rsidR="00C5319B">
        <w:rPr>
          <w:rFonts w:ascii="Times New Roman" w:eastAsiaTheme="majorEastAsia" w:hAnsi="Times New Roman" w:cs="Times New Roman"/>
          <w:b/>
          <w:bCs/>
          <w:i/>
          <w:spacing w:val="4"/>
          <w:sz w:val="28"/>
          <w:szCs w:val="28"/>
          <w:lang w:val="sv-SE"/>
        </w:rPr>
        <w:t xml:space="preserve"> </w:t>
      </w:r>
      <w:r w:rsidR="001F3F26" w:rsidRPr="001F3F26">
        <w:rPr>
          <w:rFonts w:ascii="Times New Roman" w:eastAsiaTheme="majorEastAsia" w:hAnsi="Times New Roman" w:cs="Times New Roman"/>
          <w:b/>
          <w:bCs/>
          <w:i/>
          <w:spacing w:val="4"/>
          <w:sz w:val="28"/>
          <w:szCs w:val="28"/>
          <w:lang w:val="sv-SE"/>
        </w:rPr>
        <w:t>Phương thức đóng BHXH</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Thu nhập dưới 3.500 USD không phải đóng BHXH;</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Thu nhập từ 3.500 USD đến dưới 15.000 USD đóng theo tháng;</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Thu nhập từ 15.000 USD đến dưới 50.000 USD đóng 2 lân/tháng;</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Thu nhập từ 50.000 USD trở lên đóng BHXH theo hàng tuần.</w:t>
      </w:r>
    </w:p>
    <w:p w:rsidR="001F3F26" w:rsidRPr="001F3F26" w:rsidRDefault="00EE7CFF" w:rsidP="001F3F26">
      <w:pPr>
        <w:spacing w:before="120" w:after="0"/>
        <w:ind w:firstLine="720"/>
        <w:jc w:val="both"/>
        <w:outlineLvl w:val="2"/>
        <w:rPr>
          <w:rFonts w:ascii="Times New Roman" w:eastAsiaTheme="majorEastAsia" w:hAnsi="Times New Roman" w:cs="Times New Roman"/>
          <w:b/>
          <w:bCs/>
          <w:i/>
          <w:spacing w:val="4"/>
          <w:sz w:val="28"/>
          <w:szCs w:val="28"/>
          <w:lang w:val="sv-SE"/>
        </w:rPr>
      </w:pPr>
      <w:r>
        <w:rPr>
          <w:rFonts w:ascii="Times New Roman" w:eastAsiaTheme="majorEastAsia" w:hAnsi="Times New Roman" w:cs="Times New Roman"/>
          <w:b/>
          <w:bCs/>
          <w:i/>
          <w:spacing w:val="4"/>
          <w:sz w:val="28"/>
          <w:szCs w:val="28"/>
          <w:lang w:val="sv-SE"/>
        </w:rPr>
        <w:t>2.3.</w:t>
      </w:r>
      <w:r w:rsidR="00C5319B">
        <w:rPr>
          <w:rFonts w:ascii="Times New Roman" w:eastAsiaTheme="majorEastAsia" w:hAnsi="Times New Roman" w:cs="Times New Roman"/>
          <w:b/>
          <w:bCs/>
          <w:i/>
          <w:spacing w:val="4"/>
          <w:sz w:val="28"/>
          <w:szCs w:val="28"/>
          <w:lang w:val="sv-SE"/>
        </w:rPr>
        <w:t xml:space="preserve"> </w:t>
      </w:r>
      <w:r w:rsidR="001F3F26" w:rsidRPr="001F3F26">
        <w:rPr>
          <w:rFonts w:ascii="Times New Roman" w:eastAsiaTheme="majorEastAsia" w:hAnsi="Times New Roman" w:cs="Times New Roman"/>
          <w:b/>
          <w:bCs/>
          <w:i/>
          <w:spacing w:val="4"/>
          <w:sz w:val="28"/>
          <w:szCs w:val="28"/>
          <w:lang w:val="sv-SE"/>
        </w:rPr>
        <w:t>Tại Canada, lao động không có quan hệ lao động cũng bắt buộc phải đóng vào quỹ BHXH</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Cơ chế kiểm soát nhóm đối tượng này: Mỗi cá nhân đều có mã số cá nhân. Khi sinh sống và làm việc tại Canada, mỗi cá nhân đều có tài khoản và mọi thu nhập phát sinh đều được theo dõi qua các tài khoản này. Là công dân của Canada, người dân có nghĩa vụ phải báo cáo tất cả các nguồn thu nhập kể cả từ trong hay ngoài lãnh thổ Canada để nộp thuế thu nhập cá nhân. Người nộp thuế phải hoàn thành nghĩa vụ nộp thuế thu nhập cá nhân mỗi năm, họ phải tự tình toán và kê khai khoản thuế phải nộp.</w:t>
      </w:r>
    </w:p>
    <w:p w:rsidR="001F3F26" w:rsidRPr="001F3F26" w:rsidRDefault="00EE7CFF" w:rsidP="001F3F26">
      <w:pPr>
        <w:spacing w:before="120" w:after="0"/>
        <w:ind w:firstLine="720"/>
        <w:jc w:val="both"/>
        <w:outlineLvl w:val="2"/>
        <w:rPr>
          <w:rFonts w:ascii="Times New Roman" w:eastAsiaTheme="majorEastAsia" w:hAnsi="Times New Roman" w:cs="Times New Roman"/>
          <w:b/>
          <w:bCs/>
          <w:i/>
          <w:spacing w:val="4"/>
          <w:sz w:val="28"/>
          <w:szCs w:val="28"/>
          <w:lang w:val="sv-SE"/>
        </w:rPr>
      </w:pPr>
      <w:r>
        <w:rPr>
          <w:rFonts w:ascii="Times New Roman" w:eastAsiaTheme="majorEastAsia" w:hAnsi="Times New Roman" w:cs="Times New Roman"/>
          <w:b/>
          <w:bCs/>
          <w:i/>
          <w:spacing w:val="4"/>
          <w:sz w:val="28"/>
          <w:szCs w:val="28"/>
          <w:lang w:val="sv-SE"/>
        </w:rPr>
        <w:t>2.4.</w:t>
      </w:r>
      <w:r w:rsidR="00C5319B">
        <w:rPr>
          <w:rFonts w:ascii="Times New Roman" w:eastAsiaTheme="majorEastAsia" w:hAnsi="Times New Roman" w:cs="Times New Roman"/>
          <w:b/>
          <w:bCs/>
          <w:i/>
          <w:spacing w:val="4"/>
          <w:sz w:val="28"/>
          <w:szCs w:val="28"/>
          <w:lang w:val="sv-SE"/>
        </w:rPr>
        <w:t xml:space="preserve"> </w:t>
      </w:r>
      <w:r w:rsidR="001F3F26" w:rsidRPr="001F3F26">
        <w:rPr>
          <w:rFonts w:ascii="Times New Roman" w:eastAsiaTheme="majorEastAsia" w:hAnsi="Times New Roman" w:cs="Times New Roman"/>
          <w:b/>
          <w:bCs/>
          <w:i/>
          <w:spacing w:val="4"/>
          <w:sz w:val="28"/>
          <w:szCs w:val="28"/>
          <w:lang w:val="sv-SE"/>
        </w:rPr>
        <w:t>Bài học rút ra</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i/>
          <w:sz w:val="28"/>
          <w:szCs w:val="28"/>
        </w:rPr>
        <w:t>Một là,</w:t>
      </w:r>
      <w:r w:rsidRPr="001F3F26">
        <w:rPr>
          <w:rFonts w:ascii="Times New Roman" w:hAnsi="Times New Roman" w:cs="Times New Roman"/>
          <w:sz w:val="28"/>
          <w:szCs w:val="28"/>
        </w:rPr>
        <w:t xml:space="preserve"> kiểm soát tốt thu nhập qua mã số cá nhân và tài khoản giúp thực hiện tốt chính sách BHXH đối với không chỉ lao động có quan hệ lao động mà cả đối với lao động không có quan hệ lao động;</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i/>
          <w:sz w:val="28"/>
          <w:szCs w:val="28"/>
        </w:rPr>
        <w:t>Hai là,</w:t>
      </w:r>
      <w:r w:rsidRPr="001F3F26" w:rsidDel="00EE5ED1">
        <w:rPr>
          <w:rFonts w:ascii="Times New Roman" w:hAnsi="Times New Roman" w:cs="Times New Roman"/>
          <w:sz w:val="28"/>
          <w:szCs w:val="28"/>
        </w:rPr>
        <w:t xml:space="preserve"> </w:t>
      </w:r>
      <w:r w:rsidRPr="001F3F26">
        <w:rPr>
          <w:rFonts w:ascii="Times New Roman" w:hAnsi="Times New Roman" w:cs="Times New Roman"/>
          <w:sz w:val="28"/>
          <w:szCs w:val="28"/>
        </w:rPr>
        <w:t>tổ chức mô hình theo văn phòng khu vực giúp cơ quan thực hiện chính sách BHXH vừa linh hoạt, vừa hiệu quả do giảm bớt được các khâu trung gian;</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i/>
          <w:sz w:val="28"/>
          <w:szCs w:val="28"/>
        </w:rPr>
        <w:t>Ba là,</w:t>
      </w:r>
      <w:r w:rsidRPr="001F3F26">
        <w:rPr>
          <w:rFonts w:ascii="Times New Roman" w:hAnsi="Times New Roman" w:cs="Times New Roman"/>
          <w:sz w:val="28"/>
          <w:szCs w:val="28"/>
        </w:rPr>
        <w:t xml:space="preserve"> thu BHXH qua cơ quan thuế giúp tăng hiệu quả quản lý đối tượng do Cơ quan thuế có cơ sở dữ liệu lớn nhất về doanh nghiệp và các lao động làm việc tại doanh nghiệp, theo dõi toàn bộ hoạt động kinh doanh, sử dụng lao động của doanh nghiệp.</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i/>
          <w:sz w:val="28"/>
          <w:szCs w:val="28"/>
        </w:rPr>
        <w:t>Bốn là,</w:t>
      </w:r>
      <w:r w:rsidRPr="001F3F26">
        <w:rPr>
          <w:rFonts w:ascii="Times New Roman" w:hAnsi="Times New Roman" w:cs="Times New Roman"/>
          <w:sz w:val="28"/>
          <w:szCs w:val="28"/>
        </w:rPr>
        <w:t xml:space="preserve"> việc kiểm soát chặt chẽ việc đóng BHXH đến từng tuần của cơ quan thuế, cùng với sự kiên quyết có các chế tài mạnh kịp thời đã không làm phát sinh các trường hợp nợ BHXH kéo dài không có khả năng thanh toán làm ảnh hưởng đến quyền lợi của người lao động.</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i/>
          <w:sz w:val="28"/>
          <w:szCs w:val="28"/>
        </w:rPr>
        <w:lastRenderedPageBreak/>
        <w:t>Năm là,</w:t>
      </w:r>
      <w:r w:rsidRPr="001F3F26">
        <w:rPr>
          <w:rFonts w:ascii="Times New Roman" w:hAnsi="Times New Roman" w:cs="Times New Roman"/>
          <w:sz w:val="28"/>
          <w:szCs w:val="28"/>
        </w:rPr>
        <w:t xml:space="preserve"> quy định rõ nghĩa vụ với chế tài xử phạt nghiêm minh giúp cho không có hiện tượng trốn đóng thuế, BHXH.</w:t>
      </w:r>
    </w:p>
    <w:p w:rsidR="001F3F26" w:rsidRPr="001F3F26" w:rsidRDefault="001F3F26" w:rsidP="001F3F26">
      <w:pPr>
        <w:spacing w:before="120" w:after="0"/>
        <w:ind w:firstLine="720"/>
        <w:jc w:val="both"/>
        <w:outlineLvl w:val="1"/>
        <w:rPr>
          <w:rFonts w:ascii="Times New Roman" w:eastAsia="Times New Roman" w:hAnsi="Times New Roman" w:cs="Times New Roman"/>
          <w:b/>
          <w:color w:val="000000"/>
          <w:spacing w:val="-6"/>
          <w:sz w:val="28"/>
          <w:szCs w:val="28"/>
          <w:shd w:val="clear" w:color="auto" w:fill="FFFFFF"/>
          <w:lang w:val="sv-SE" w:eastAsia="vi-VN"/>
        </w:rPr>
      </w:pPr>
      <w:r w:rsidRPr="001F3F26">
        <w:rPr>
          <w:rFonts w:ascii="Times New Roman" w:eastAsia="Times New Roman" w:hAnsi="Times New Roman" w:cs="Times New Roman"/>
          <w:b/>
          <w:color w:val="000000"/>
          <w:spacing w:val="-6"/>
          <w:sz w:val="28"/>
          <w:szCs w:val="28"/>
          <w:shd w:val="clear" w:color="auto" w:fill="FFFFFF"/>
          <w:lang w:val="sv-SE" w:eastAsia="vi-VN"/>
        </w:rPr>
        <w:t>3. Kinh nghiệm Trung Quốc</w:t>
      </w:r>
    </w:p>
    <w:p w:rsidR="001F3F26" w:rsidRPr="001F3F26" w:rsidRDefault="00EE7CFF" w:rsidP="001F3F26">
      <w:pPr>
        <w:spacing w:before="120" w:after="0"/>
        <w:ind w:firstLine="720"/>
        <w:jc w:val="both"/>
        <w:outlineLvl w:val="2"/>
        <w:rPr>
          <w:rFonts w:ascii="Times New Roman" w:eastAsiaTheme="majorEastAsia" w:hAnsi="Times New Roman" w:cs="Times New Roman"/>
          <w:b/>
          <w:bCs/>
          <w:i/>
          <w:spacing w:val="4"/>
          <w:sz w:val="28"/>
          <w:szCs w:val="28"/>
          <w:lang w:val="sv-SE"/>
        </w:rPr>
      </w:pPr>
      <w:r>
        <w:rPr>
          <w:rFonts w:ascii="Times New Roman" w:eastAsiaTheme="majorEastAsia" w:hAnsi="Times New Roman" w:cs="Times New Roman"/>
          <w:b/>
          <w:bCs/>
          <w:i/>
          <w:spacing w:val="4"/>
          <w:sz w:val="28"/>
          <w:szCs w:val="28"/>
          <w:lang w:val="sv-SE"/>
        </w:rPr>
        <w:t>3.1.</w:t>
      </w:r>
      <w:r w:rsidR="00C5319B">
        <w:rPr>
          <w:rFonts w:ascii="Times New Roman" w:eastAsiaTheme="majorEastAsia" w:hAnsi="Times New Roman" w:cs="Times New Roman"/>
          <w:b/>
          <w:bCs/>
          <w:i/>
          <w:spacing w:val="4"/>
          <w:sz w:val="28"/>
          <w:szCs w:val="28"/>
          <w:lang w:val="sv-SE"/>
        </w:rPr>
        <w:t xml:space="preserve"> </w:t>
      </w:r>
      <w:r w:rsidR="001F3F26" w:rsidRPr="001F3F26">
        <w:rPr>
          <w:rFonts w:ascii="Times New Roman" w:eastAsiaTheme="majorEastAsia" w:hAnsi="Times New Roman" w:cs="Times New Roman"/>
          <w:b/>
          <w:bCs/>
          <w:i/>
          <w:spacing w:val="4"/>
          <w:sz w:val="28"/>
          <w:szCs w:val="28"/>
          <w:lang w:val="sv-SE"/>
        </w:rPr>
        <w:t xml:space="preserve">Bộ Nhân lực và An sinh xã hội (MOHRSS) </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xml:space="preserve">Bộ Nhân lực và An sinh xã hội (MOHRSS) được thành lập vào năm 2008, thông qua sự sáp nhập của Bộ Nội vụ và Bộ Lao động và An sinh xã hội. Nhiệm vụ chính của MOHRSS bao gồm: xây dựng các luật, quy định, chính sách về nhân lực và phát triển an sinh xã hội, khuyến khích lao động việc làm, xây dựng hệ thống bảo hiểm xã hội chung bao phủ khu vực thành thị và nông thôn, phối hợp với các cơ quan liên quan dự thảo chính sách phân bổ thu nhập và chịu trách nhiệm quản lý nhân sự cán bộ tại các cơ quan hành chính. </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Các Vụ liên quan bảo hiểm xã hội:</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xml:space="preserve">- Vụ Lao động: Xây dựng chính sách về quan hệ lao động, dự thảo kế hoạch thực hiện các quy định về hợp đồng lao động, hợp đồng tập thể, và chính sách phân phối thu nhập vĩ mô quốc gia; hướng dẫn và giám sát phân phối thu nhập của nhân viên tại các doanh nghiệp nhà nước; dự thảo quy định bảo hộ lao động cho lao động trẻ em, lao động vị thành niên và lao động nữ. </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xml:space="preserve">- Vụ Tiền lương và Phúc lợi: Xây dựng phân phối thu nhập, phúc lợi, và chính sách nghỉ hưu cho nhân viên tại các cơ quan và tổ chức Nhà nước; lãnh đạo trong việc xây dựng chính sách tiền lương cho cán bộ, nhân viên ngoại giao làm việc tại Hong Kong, Macao và các cán bộ tại các cơ quan công; chịu trách nhiệm quản lý tiền lương cho các cơ quan thuộc nhà nước. </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Vụ Bảo hiểm hưu trí: Giám sát và xây dựng bảo hiểm hưu trí cơ bản và bổ sung cho các cơ quan và doanh nghiệp; thiết kế các chính sách quản lý quỹ hưu trí và hệ thống dự</w:t>
      </w:r>
      <w:r w:rsidR="001B5FC6">
        <w:rPr>
          <w:rFonts w:ascii="Times New Roman" w:hAnsi="Times New Roman" w:cs="Times New Roman"/>
          <w:sz w:val="28"/>
          <w:szCs w:val="28"/>
        </w:rPr>
        <w:t xml:space="preserve"> báo -</w:t>
      </w:r>
      <w:r w:rsidRPr="001F3F26">
        <w:rPr>
          <w:rFonts w:ascii="Times New Roman" w:hAnsi="Times New Roman" w:cs="Times New Roman"/>
          <w:sz w:val="28"/>
          <w:szCs w:val="28"/>
        </w:rPr>
        <w:t xml:space="preserve"> cảnh báo; kiểm toán mức đóng của bảo hiểm hưu trí cơ bản cấp tỉnh.  </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xml:space="preserve">- Vụ Bảo hiểm xã hội nông thôn: xây dựng chính sách và tiêu chuẩn cho hệ thống bảo hiểm xã hội cho người nông dân có đất sung công; phối hợp với các cơ quan liên quan dự thảo quy định liên quan đến quỹ bảo hiểm xã hội nông thôn; xây dựng các quy định xác định người nông dân có đất sung công. </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xml:space="preserve">- Vụ Giám sát quỹ bảo hiểm xã hội: xây dựng hệ thống giám sát: các quỹ bảo hiểm xã hội; các quỹ bảo hiểm bổ sung liên quan; việc thực hiện chính sách; giám sát việc thu, chi, và thực hiện bảo hiểm xã hội; tham gia dự thảo chính sách về đầu tư quỹ bảo hiểm xã hội quốc gia. </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lastRenderedPageBreak/>
        <w:t>- Thanh tra lao động: xây dựng hệ thống giám sát, điều tra và giải quyết các trường hợp quan trọng liên quan đến luật; hướng dẫn và phối hợp với chính quyền địa phương thực hiện thanh tra lao động; hỗ trợ công tác bảo vệ quyền lợi lao động</w:t>
      </w:r>
    </w:p>
    <w:p w:rsidR="001F3F26" w:rsidRPr="001F3F26" w:rsidRDefault="00EE7CFF" w:rsidP="001F3F26">
      <w:pPr>
        <w:spacing w:before="120" w:after="0"/>
        <w:ind w:firstLine="720"/>
        <w:jc w:val="both"/>
        <w:outlineLvl w:val="2"/>
        <w:rPr>
          <w:rFonts w:ascii="Times New Roman" w:eastAsiaTheme="majorEastAsia" w:hAnsi="Times New Roman" w:cs="Times New Roman"/>
          <w:b/>
          <w:bCs/>
          <w:i/>
          <w:spacing w:val="4"/>
          <w:sz w:val="28"/>
          <w:szCs w:val="28"/>
          <w:lang w:val="sv-SE"/>
        </w:rPr>
      </w:pPr>
      <w:r>
        <w:rPr>
          <w:rFonts w:ascii="Times New Roman" w:eastAsiaTheme="majorEastAsia" w:hAnsi="Times New Roman" w:cs="Times New Roman"/>
          <w:b/>
          <w:bCs/>
          <w:i/>
          <w:spacing w:val="4"/>
          <w:sz w:val="28"/>
          <w:szCs w:val="28"/>
          <w:lang w:val="sv-SE"/>
        </w:rPr>
        <w:t>3.2.</w:t>
      </w:r>
      <w:r w:rsidR="00C5319B">
        <w:rPr>
          <w:rFonts w:ascii="Times New Roman" w:eastAsiaTheme="majorEastAsia" w:hAnsi="Times New Roman" w:cs="Times New Roman"/>
          <w:b/>
          <w:bCs/>
          <w:i/>
          <w:spacing w:val="4"/>
          <w:sz w:val="28"/>
          <w:szCs w:val="28"/>
          <w:lang w:val="sv-SE"/>
        </w:rPr>
        <w:t xml:space="preserve"> </w:t>
      </w:r>
      <w:r w:rsidR="001F3F26" w:rsidRPr="001F3F26">
        <w:rPr>
          <w:rFonts w:ascii="Times New Roman" w:eastAsiaTheme="majorEastAsia" w:hAnsi="Times New Roman" w:cs="Times New Roman"/>
          <w:b/>
          <w:bCs/>
          <w:i/>
          <w:spacing w:val="4"/>
          <w:sz w:val="28"/>
          <w:szCs w:val="28"/>
          <w:lang w:val="sv-SE"/>
        </w:rPr>
        <w:t>Tổng quan hệ thống bảo hiểm xã hội Trung Quốc</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Tháng 4 năm 2014, cuộc đình công của 40.000 người lao động tại nhà máy giày Yue Yuen (Công ty con của Pou Chen) ở tỉnh Đông Hoản, Trung Quốc đã gây nhiều sự xáo trộn trong quan hệ lao động tại Trung Quốc. Đó là cuộc đình công lớn nhất trong lịch sử hiện đại Trung Quốc, và là ví dụ điển hình cho một trong những vấn đề của hệ thống Bảo hiểm xã hội tại Trung Quốc. Cuộc đình công được khởi động khi người lao động phát hiện ra rằng công ty đã đóng thiếu bảo hiểm xã hội của họ trong nhiều năm. Ở một góc độ nào đó, những công nhân của Yue Yuen vẫn còn may mắn khi họ vẫn còn có hưu trí: dù chính phủ Trung Quốc luôn cố gắng thúc đẩy quyền lợi và độ bao phủ của bảo hiểm xã hội, phần lớn người lao động vẫn chưa được bảo trợ an sinh một cách hiệu quả; và khi lực lượng lao động già đi, các cuộc đình công và biểu tình về việc chủ sử dụng lao động tại các nhà máy không đóng bảo hiểm xã hội cho công nhân của họ ngày càng trở nên phổ biến.</w:t>
      </w:r>
    </w:p>
    <w:p w:rsidR="00EE7CFF"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xml:space="preserve">Các vấn đề của hệ thống bảo hiểm xã hội Trung Quốc bắt nguồn từ 2 sự kiện chính: </w:t>
      </w:r>
    </w:p>
    <w:p w:rsidR="00EE7CFF"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i/>
          <w:iCs/>
          <w:sz w:val="28"/>
          <w:szCs w:val="28"/>
        </w:rPr>
        <w:t>Một là</w:t>
      </w:r>
      <w:r w:rsidRPr="001F3F26">
        <w:rPr>
          <w:rFonts w:ascii="Times New Roman" w:hAnsi="Times New Roman" w:cs="Times New Roman"/>
          <w:sz w:val="28"/>
          <w:szCs w:val="28"/>
        </w:rPr>
        <w:t xml:space="preserve">, sự khủng hoảng của nền kinh tế do nhà nước điều hành, cung cấp cho người lao động tại đô thị “chiếc bát sắt” (cụm từ chỉ công việc có lương ổn định, nhà cửa, chăm sóc sức khỏe và lương hưu). </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i/>
          <w:iCs/>
          <w:sz w:val="28"/>
          <w:szCs w:val="28"/>
        </w:rPr>
        <w:t>Hai là</w:t>
      </w:r>
      <w:r w:rsidRPr="001F3F26">
        <w:rPr>
          <w:rFonts w:ascii="Times New Roman" w:hAnsi="Times New Roman" w:cs="Times New Roman"/>
          <w:sz w:val="28"/>
          <w:szCs w:val="28"/>
        </w:rPr>
        <w:t>, chính sách một con trong những năm 1980, khiến cho người dân không thể sống phụ thuộc vào việc đông con nhiều cháu khi về già. Nói cách khác, khi nền kinh tế phát triển và được tự do hóa vào những năm 1990, 2000, cấu trúc của cả nhà nước và xã hội từng hỗ trợ người lao động khi tuổi già, ốm đau, kinh tế khó khăn dần dần biến mất, để lại một khoảng trống rất lớn cần phải lấp đầy.</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Nhà nước Trung Quốc hướng tới việc xây dựng một hệ thống bảo hiểm xã hội dựa trên hợp đồng lao động cá nhân, đặt trách nhiệm cho người sử dụng lao độ</w:t>
      </w:r>
      <w:r w:rsidR="001B5FC6">
        <w:rPr>
          <w:rFonts w:ascii="Times New Roman" w:hAnsi="Times New Roman" w:cs="Times New Roman"/>
          <w:sz w:val="28"/>
          <w:szCs w:val="28"/>
        </w:rPr>
        <w:t>ng -</w:t>
      </w:r>
      <w:r w:rsidRPr="001F3F26">
        <w:rPr>
          <w:rFonts w:ascii="Times New Roman" w:hAnsi="Times New Roman" w:cs="Times New Roman"/>
          <w:sz w:val="28"/>
          <w:szCs w:val="28"/>
        </w:rPr>
        <w:t xml:space="preserve"> thay vì nhà nướ</w:t>
      </w:r>
      <w:r w:rsidR="001B5FC6">
        <w:rPr>
          <w:rFonts w:ascii="Times New Roman" w:hAnsi="Times New Roman" w:cs="Times New Roman"/>
          <w:sz w:val="28"/>
          <w:szCs w:val="28"/>
        </w:rPr>
        <w:t>c -</w:t>
      </w:r>
      <w:r w:rsidRPr="001F3F26">
        <w:rPr>
          <w:rFonts w:ascii="Times New Roman" w:hAnsi="Times New Roman" w:cs="Times New Roman"/>
          <w:sz w:val="28"/>
          <w:szCs w:val="28"/>
        </w:rPr>
        <w:t xml:space="preserve"> phải tham gia đóng góp vào các chế độ hưu trí, thất nghiệp, y tế, tai nạn lao động và thai sản. Cùng với đó, Nhà nước cũng xây dựng quỹ nhà đất để hỗ trợ cán bộ công nhân viên chức nhà nước có thể mua nhà. </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xml:space="preserve">Hệ thống mới được phát triển phân mảnh thông qua nhiều văn bản quy phạm pháp luật khác nhau như Luật lao động năm 1994 và Luật hợp đồng lao động năm 2008. Cho đến năm 2011, các phần rời rạc này mới được thể chế hóa </w:t>
      </w:r>
      <w:r w:rsidRPr="001F3F26">
        <w:rPr>
          <w:rFonts w:ascii="Times New Roman" w:hAnsi="Times New Roman" w:cs="Times New Roman"/>
          <w:sz w:val="28"/>
          <w:szCs w:val="28"/>
        </w:rPr>
        <w:lastRenderedPageBreak/>
        <w:t>vào khung pháp lý quốc gia thống nhất trong Luật Bảo hiểm xã hội. Theo đó, các nguyên tắc cơ bản của hệ thống bảo hiểm xã hội Trung Quốc được nêu ra:</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Tất cả người lao động, bao gồm cả lao động di cư tại các vùng nông thân, đều nên được bao phủ bởi hệ thống bảo hiểm xã hội.</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Cả người lao động và người sử dụng lao động đều phải đóng góp (ở các mức khác nhau) vào một quỹ hưu trí, một quỹ thất nghiệp và một quỹ bảo hiểm y tế, và quỹ Nhà ở dự phòng. Người sử dụng lao động ngoài ra còn phải đóng vào quỹ tai nạn lao động và quỹ thai sản.</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Các quỹ bảo hiểm sẽ được quản lý bởi chính quyền địa phương và gộp chung vào ngân sách của địa phương. Thông thường quỹ bảo hiểm xã hội sẽ do cục/sở lao động, nhân lực, hoặc bảo hiểm xã hội tại địa phương quản lý; còn quỹ Nhà ở dự phòng sẽ do Ủy ban quản lý quỹ nhà ở dự phòng tại địa phương quản lý.</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Tiền quỹ thu được sẽ chỉ được chi vào mục đích đã được đặt ra, cụ thể là cung cấp các quyền lợi bảo hiểm xã hội cho người lao động và người nghỉ hưu.</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xml:space="preserve">- Quỹ hưu trí và quỹ bảo hiểm y tế được hợp thành bởi các cấu phần, được sử dụng để chi trả quyền lợi cho người lao động đủ điều kiện, và chi trả cho các tài khoản cá nhân của những người lao động có điều kiện. </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Các quyền lợi bảo hiểm xã hội phải đi theo người lao động khi họ di chuyển. Tuy nhiên, nguyên tắc này rất khó thực hiện do đặc tính địa phương của hệ thống phúc lợi Trung quốc. Việc chia sẻ thông tin giữa các chính quyền địa phương với nhau gặp rất nhiều trắc trở do thủ tục hành chính nhiêu khê và khó khăn về công nghệ thông tin, đặc biệt là đối với người lao động đến từ vùng nông thôn của Trung Quốc.</w:t>
      </w:r>
    </w:p>
    <w:p w:rsidR="003E711E" w:rsidRDefault="001F3F26" w:rsidP="00C5319B">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 xml:space="preserve">Nhìn chung, giống như các khung pháp lý khác về lao động của Trung Quốc, việc cưỡng chế Luật bảo hiểm xã hội, ngay cả những chế độ cơ bản nhất, bị buông lỏng, và phần lớn người lao động không nhận được những quyền lợi bảo hiểm xã hội của họ. </w:t>
      </w:r>
    </w:p>
    <w:p w:rsidR="00C5319B" w:rsidRDefault="001F3F26" w:rsidP="00C5319B">
      <w:pPr>
        <w:spacing w:before="120" w:after="0"/>
        <w:ind w:firstLine="720"/>
        <w:jc w:val="both"/>
        <w:rPr>
          <w:rFonts w:ascii="Times New Roman" w:hAnsi="Times New Roman" w:cs="Times New Roman"/>
          <w:sz w:val="28"/>
          <w:szCs w:val="28"/>
        </w:rPr>
      </w:pPr>
      <w:r w:rsidRPr="001F3F26">
        <w:rPr>
          <w:rFonts w:ascii="Times New Roman" w:hAnsi="Times New Roman" w:cs="Times New Roman"/>
          <w:sz w:val="28"/>
          <w:szCs w:val="28"/>
        </w:rPr>
        <w:t>Nhà nước đã tìm cách để giải quyết vấn đề này, nhưng không phải bằng việc nghiêm khắc hơn trong việc cưỡng chế luật, mà họ đã xây dựng thêm các chế độ bảo hiểm mới dựa trên đóng góp của cá nhân từ khu vực thành thị</w:t>
      </w:r>
      <w:r w:rsidR="001B5FC6">
        <w:rPr>
          <w:rFonts w:ascii="Times New Roman" w:hAnsi="Times New Roman" w:cs="Times New Roman"/>
          <w:sz w:val="28"/>
          <w:szCs w:val="28"/>
        </w:rPr>
        <w:t xml:space="preserve"> và nông thôn -</w:t>
      </w:r>
      <w:r w:rsidRPr="001F3F26">
        <w:rPr>
          <w:rFonts w:ascii="Times New Roman" w:hAnsi="Times New Roman" w:cs="Times New Roman"/>
          <w:sz w:val="28"/>
          <w:szCs w:val="28"/>
        </w:rPr>
        <w:t xml:space="preserve"> qua đó khích lệ sự tuân thủ theo Luật bảo hiểm xã hội thông qua việc giảm bớt tiền đóng của người sử dụng lao động và người lao động vào các quỹ khác nhau. Trong tháng 3 năm 2019, Nhà nước đã tuyên bố rằng mức đóng của người sử dụng lao động vào quỹ hưu trí sẽ giảm từ trần là 20% xuống còn 16% của bảng chi tiền lương. </w:t>
      </w:r>
    </w:p>
    <w:p w:rsidR="001F3F26" w:rsidRPr="00EE7CFF" w:rsidRDefault="00EE7CFF" w:rsidP="00EE7CFF">
      <w:pPr>
        <w:spacing w:before="120" w:after="0"/>
        <w:ind w:left="720"/>
        <w:jc w:val="both"/>
        <w:rPr>
          <w:rFonts w:ascii="Times New Roman" w:hAnsi="Times New Roman" w:cs="Times New Roman"/>
          <w:b/>
          <w:i/>
          <w:sz w:val="28"/>
          <w:szCs w:val="28"/>
        </w:rPr>
      </w:pPr>
      <w:r>
        <w:rPr>
          <w:rFonts w:ascii="Times New Roman" w:eastAsiaTheme="majorEastAsia" w:hAnsi="Times New Roman" w:cs="Times New Roman"/>
          <w:b/>
          <w:bCs/>
          <w:i/>
          <w:spacing w:val="4"/>
          <w:sz w:val="28"/>
          <w:szCs w:val="28"/>
          <w:lang w:val="sv-SE"/>
        </w:rPr>
        <w:lastRenderedPageBreak/>
        <w:t>3.3.</w:t>
      </w:r>
      <w:r w:rsidR="001F3F26" w:rsidRPr="00EE7CFF">
        <w:rPr>
          <w:rFonts w:ascii="Times New Roman" w:eastAsiaTheme="majorEastAsia" w:hAnsi="Times New Roman" w:cs="Times New Roman"/>
          <w:b/>
          <w:bCs/>
          <w:i/>
          <w:spacing w:val="4"/>
          <w:sz w:val="28"/>
          <w:szCs w:val="28"/>
          <w:lang w:val="sv-SE"/>
        </w:rPr>
        <w:t>Bài học rút ra</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i/>
          <w:iCs/>
          <w:sz w:val="28"/>
          <w:szCs w:val="28"/>
        </w:rPr>
        <w:t>Một là</w:t>
      </w:r>
      <w:r w:rsidRPr="001F3F26">
        <w:rPr>
          <w:rFonts w:ascii="Times New Roman" w:hAnsi="Times New Roman" w:cs="Times New Roman"/>
          <w:sz w:val="28"/>
          <w:szCs w:val="28"/>
        </w:rPr>
        <w:t>, quản lý nhà nước về bảo hiểm xã hội cần được đầu tư xứng đáng, đặc biệt việc tham mưu xây dựng chính sách bảo hiểm xã hội</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i/>
          <w:iCs/>
          <w:sz w:val="28"/>
          <w:szCs w:val="28"/>
        </w:rPr>
        <w:t>Hai là</w:t>
      </w:r>
      <w:r w:rsidRPr="001F3F26">
        <w:rPr>
          <w:rFonts w:ascii="Times New Roman" w:hAnsi="Times New Roman" w:cs="Times New Roman"/>
          <w:sz w:val="28"/>
          <w:szCs w:val="28"/>
        </w:rPr>
        <w:t>, công tác giám sát quản lý quỹ bảo hiểm xã hội cần phải được chuyên môn hóa. Vì đối với bất kỳ quốc gia nào, quỹ bảo hiểm xã hội đều là quỹ lớn nhất ngoài ngân sách nhà nước, cần đảm bảo cân đối trong dài hạn.</w:t>
      </w:r>
    </w:p>
    <w:p w:rsidR="001F3F26" w:rsidRPr="001F3F26" w:rsidRDefault="001F3F26" w:rsidP="001F3F26">
      <w:pPr>
        <w:spacing w:before="120" w:after="0"/>
        <w:ind w:firstLine="720"/>
        <w:jc w:val="both"/>
        <w:rPr>
          <w:rFonts w:ascii="Times New Roman" w:hAnsi="Times New Roman" w:cs="Times New Roman"/>
          <w:sz w:val="28"/>
          <w:szCs w:val="28"/>
        </w:rPr>
      </w:pPr>
      <w:r w:rsidRPr="001F3F26">
        <w:rPr>
          <w:rFonts w:ascii="Times New Roman" w:hAnsi="Times New Roman" w:cs="Times New Roman"/>
          <w:i/>
          <w:iCs/>
          <w:sz w:val="28"/>
          <w:szCs w:val="28"/>
        </w:rPr>
        <w:t>Ba là</w:t>
      </w:r>
      <w:r w:rsidRPr="001F3F26">
        <w:rPr>
          <w:rFonts w:ascii="Times New Roman" w:hAnsi="Times New Roman" w:cs="Times New Roman"/>
          <w:sz w:val="28"/>
          <w:szCs w:val="28"/>
        </w:rPr>
        <w:t>, tiến tới bao phủ bảo hiểm xã hội toàn dân là một xu thế tất yếu, để hướng tới mục tiêu này cần một mô hình quản trị phù hợp.</w:t>
      </w:r>
      <w:r w:rsidR="00C36ADE">
        <w:rPr>
          <w:rFonts w:ascii="Times New Roman" w:hAnsi="Times New Roman" w:cs="Times New Roman"/>
          <w:sz w:val="28"/>
          <w:szCs w:val="28"/>
        </w:rPr>
        <w:t>/.</w:t>
      </w:r>
    </w:p>
    <w:p w:rsidR="001F3F26" w:rsidRPr="001F3F26" w:rsidRDefault="001F3F26" w:rsidP="001F3F26">
      <w:pPr>
        <w:spacing w:before="120" w:after="0"/>
        <w:ind w:firstLine="720"/>
        <w:rPr>
          <w:rFonts w:ascii="Times New Roman" w:hAnsi="Times New Roman" w:cs="Times New Roman"/>
          <w:sz w:val="28"/>
          <w:szCs w:val="28"/>
        </w:rPr>
      </w:pPr>
    </w:p>
    <w:p w:rsidR="001F3F26" w:rsidRPr="001F3F26" w:rsidRDefault="001F3F26" w:rsidP="001F3F26">
      <w:pPr>
        <w:spacing w:before="120" w:after="0"/>
        <w:ind w:firstLine="720"/>
        <w:jc w:val="both"/>
        <w:rPr>
          <w:rFonts w:ascii="Times New Roman" w:eastAsia="Arial" w:hAnsi="Times New Roman" w:cs="Times New Roman"/>
          <w:b/>
          <w:sz w:val="28"/>
          <w:szCs w:val="28"/>
        </w:rPr>
      </w:pPr>
    </w:p>
    <w:sectPr w:rsidR="001F3F26" w:rsidRPr="001F3F26" w:rsidSect="00E02BF1">
      <w:footerReference w:type="default" r:id="rId8"/>
      <w:pgSz w:w="11907" w:h="16839" w:code="9"/>
      <w:pgMar w:top="1138" w:right="1138" w:bottom="1138" w:left="1699"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762" w:rsidRDefault="00532762" w:rsidP="008A0330">
      <w:pPr>
        <w:spacing w:after="0" w:line="240" w:lineRule="auto"/>
      </w:pPr>
      <w:r>
        <w:separator/>
      </w:r>
    </w:p>
  </w:endnote>
  <w:endnote w:type="continuationSeparator" w:id="0">
    <w:p w:rsidR="00532762" w:rsidRDefault="00532762" w:rsidP="008A0330">
      <w:pPr>
        <w:spacing w:after="0" w:line="240" w:lineRule="auto"/>
      </w:pPr>
      <w:r>
        <w:continuationSeparator/>
      </w:r>
    </w:p>
  </w:endnote>
  <w:endnote w:id="1">
    <w:p w:rsidR="00BD46E7" w:rsidRPr="00520D31" w:rsidRDefault="00BD46E7" w:rsidP="001F3F26">
      <w:pPr>
        <w:pStyle w:val="EndnoteText"/>
        <w:rPr>
          <w:rFonts w:ascii="Times New Roman" w:hAnsi="Times New Roman" w:cs="Times New Roman"/>
        </w:rPr>
      </w:pPr>
      <w:r w:rsidRPr="00520D31">
        <w:rPr>
          <w:rStyle w:val="EndnoteReference"/>
          <w:rFonts w:ascii="Times New Roman" w:hAnsi="Times New Roman" w:cs="Times New Roman"/>
        </w:rPr>
        <w:endnoteRef/>
      </w:r>
      <w:r w:rsidRPr="00520D31">
        <w:rPr>
          <w:rFonts w:ascii="Times New Roman" w:hAnsi="Times New Roman" w:cs="Times New Roman"/>
        </w:rPr>
        <w:t xml:space="preserve"> Hệ thống hưu trí của Nhật Bản là hệ thống đa tầng, một người có thể nhận nhiều nguồn lương hưu khác nhau.</w:t>
      </w:r>
    </w:p>
  </w:endnote>
  <w:endnote w:id="2">
    <w:p w:rsidR="00BD46E7" w:rsidRDefault="00BD46E7" w:rsidP="001F3F26">
      <w:pPr>
        <w:pStyle w:val="EndnoteText"/>
      </w:pPr>
      <w:r w:rsidRPr="00520D31">
        <w:rPr>
          <w:rStyle w:val="EndnoteReference"/>
          <w:rFonts w:ascii="Times New Roman" w:hAnsi="Times New Roman" w:cs="Times New Roman"/>
        </w:rPr>
        <w:endnoteRef/>
      </w:r>
      <w:r w:rsidRPr="00520D31">
        <w:rPr>
          <w:rFonts w:ascii="Times New Roman" w:hAnsi="Times New Roman" w:cs="Times New Roman"/>
        </w:rPr>
        <w:t xml:space="preserve"> </w:t>
      </w:r>
      <w:hyperlink r:id="rId1" w:history="1">
        <w:r w:rsidRPr="00520D31">
          <w:rPr>
            <w:rStyle w:val="Hyperlink"/>
            <w:rFonts w:ascii="Times New Roman" w:hAnsi="Times New Roman" w:cs="Times New Roman"/>
          </w:rPr>
          <w:t>http://cis.ier.hit-u.ac.jp/Common/pdf/dp/2010/dp496.pdf</w:t>
        </w:r>
      </w:hyperlink>
      <w:r w:rsidRPr="00520D31">
        <w:rPr>
          <w:rFonts w:ascii="Times New Roman" w:hAnsi="Times New Roman" w:cs="Times New Roman"/>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HCI Tulip">
    <w:altName w:val="Times New Roman"/>
    <w:panose1 w:val="00000000000000000000"/>
    <w:charset w:val="00"/>
    <w:family w:val="roman"/>
    <w:notTrueType/>
    <w:pitch w:val="default"/>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3661846"/>
      <w:docPartObj>
        <w:docPartGallery w:val="Page Numbers (Bottom of Page)"/>
        <w:docPartUnique/>
      </w:docPartObj>
    </w:sdtPr>
    <w:sdtEndPr>
      <w:rPr>
        <w:noProof/>
      </w:rPr>
    </w:sdtEndPr>
    <w:sdtContent>
      <w:p w:rsidR="00BD46E7" w:rsidRDefault="00BD46E7">
        <w:pPr>
          <w:pStyle w:val="Footer"/>
          <w:jc w:val="center"/>
        </w:pPr>
        <w:r w:rsidRPr="0089503E">
          <w:rPr>
            <w:rFonts w:asciiTheme="majorHAnsi" w:hAnsiTheme="majorHAnsi" w:cstheme="majorHAnsi"/>
            <w:noProof/>
          </w:rPr>
          <w:fldChar w:fldCharType="begin"/>
        </w:r>
        <w:r w:rsidRPr="0089503E">
          <w:rPr>
            <w:rFonts w:asciiTheme="majorHAnsi" w:hAnsiTheme="majorHAnsi" w:cstheme="majorHAnsi"/>
            <w:noProof/>
          </w:rPr>
          <w:instrText xml:space="preserve"> PAGE   \* MERGEFORMAT </w:instrText>
        </w:r>
        <w:r w:rsidRPr="0089503E">
          <w:rPr>
            <w:rFonts w:asciiTheme="majorHAnsi" w:hAnsiTheme="majorHAnsi" w:cstheme="majorHAnsi"/>
            <w:noProof/>
          </w:rPr>
          <w:fldChar w:fldCharType="separate"/>
        </w:r>
        <w:r w:rsidR="002C3818">
          <w:rPr>
            <w:rFonts w:asciiTheme="majorHAnsi" w:hAnsiTheme="majorHAnsi" w:cstheme="majorHAnsi"/>
            <w:noProof/>
          </w:rPr>
          <w:t>1</w:t>
        </w:r>
        <w:r w:rsidRPr="0089503E">
          <w:rPr>
            <w:rFonts w:asciiTheme="majorHAnsi" w:hAnsiTheme="majorHAnsi" w:cstheme="majorHAnsi"/>
            <w:noProof/>
          </w:rPr>
          <w:fldChar w:fldCharType="end"/>
        </w:r>
      </w:p>
    </w:sdtContent>
  </w:sdt>
  <w:p w:rsidR="00BD46E7" w:rsidRDefault="00BD46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762" w:rsidRDefault="00532762" w:rsidP="008A0330">
      <w:pPr>
        <w:spacing w:after="0" w:line="240" w:lineRule="auto"/>
      </w:pPr>
      <w:r>
        <w:separator/>
      </w:r>
    </w:p>
  </w:footnote>
  <w:footnote w:type="continuationSeparator" w:id="0">
    <w:p w:rsidR="00532762" w:rsidRDefault="00532762" w:rsidP="008A0330">
      <w:pPr>
        <w:spacing w:after="0" w:line="240" w:lineRule="auto"/>
      </w:pPr>
      <w:r>
        <w:continuationSeparator/>
      </w:r>
    </w:p>
  </w:footnote>
  <w:footnote w:id="1">
    <w:p w:rsidR="00BD46E7" w:rsidRPr="005C1922" w:rsidRDefault="00BD46E7" w:rsidP="005D762F">
      <w:pPr>
        <w:shd w:val="clear" w:color="auto" w:fill="FFFFFF"/>
        <w:jc w:val="both"/>
        <w:textAlignment w:val="baseline"/>
        <w:rPr>
          <w:rFonts w:asciiTheme="majorHAnsi" w:eastAsia="Times New Roman" w:hAnsiTheme="majorHAnsi" w:cstheme="majorHAnsi"/>
          <w:color w:val="000000" w:themeColor="text1"/>
          <w:sz w:val="20"/>
          <w:szCs w:val="20"/>
        </w:rPr>
      </w:pPr>
      <w:r w:rsidRPr="005C1922">
        <w:rPr>
          <w:rStyle w:val="FootnoteReference"/>
          <w:rFonts w:asciiTheme="majorHAnsi" w:hAnsiTheme="majorHAnsi" w:cstheme="majorHAnsi"/>
          <w:color w:val="000000" w:themeColor="text1"/>
          <w:sz w:val="20"/>
          <w:szCs w:val="20"/>
        </w:rPr>
        <w:footnoteRef/>
      </w:r>
      <w:r w:rsidRPr="005C1922">
        <w:rPr>
          <w:rFonts w:asciiTheme="majorHAnsi" w:hAnsiTheme="majorHAnsi" w:cstheme="majorHAnsi"/>
          <w:color w:val="000000" w:themeColor="text1"/>
          <w:sz w:val="20"/>
          <w:szCs w:val="20"/>
        </w:rPr>
        <w:t xml:space="preserve"> </w:t>
      </w:r>
      <w:r w:rsidRPr="005C1922">
        <w:rPr>
          <w:rFonts w:asciiTheme="majorHAnsi" w:eastAsia="Times New Roman" w:hAnsiTheme="majorHAnsi" w:cstheme="majorHAnsi"/>
          <w:color w:val="000000" w:themeColor="text1"/>
          <w:sz w:val="20"/>
          <w:szCs w:val="20"/>
        </w:rPr>
        <w:t xml:space="preserve">Quyền này được ghi nhận trong Tuyên ngôn toàn thế giới về Nhân quyền (UDHR) năm 1948 và được tái khẳng định, cụ thể hoá trong những văn kiện quốc tế quan trọng khác về nhân quyền như: Công ước quốc tế về các Quyền kinh tế, xã hội, văn hoá (ICESCR) năm 1966; Công ước của Liên hiệp quốc về Quyền trẻ em (CRC); Công ước về Quyền của người khuyết tật (CRPD). </w:t>
      </w:r>
    </w:p>
  </w:footnote>
  <w:footnote w:id="2">
    <w:p w:rsidR="002E3CD9" w:rsidRPr="002E3CD9" w:rsidRDefault="002E3CD9" w:rsidP="002E3CD9">
      <w:pPr>
        <w:pStyle w:val="FootnoteText"/>
        <w:jc w:val="both"/>
        <w:rPr>
          <w:rFonts w:ascii="Times New Roman" w:hAnsi="Times New Roman" w:cs="Times New Roman"/>
        </w:rPr>
      </w:pPr>
      <w:r>
        <w:rPr>
          <w:rStyle w:val="FootnoteReference"/>
        </w:rPr>
        <w:footnoteRef/>
      </w:r>
      <w:r>
        <w:t xml:space="preserve"> </w:t>
      </w:r>
      <w:r w:rsidRPr="002E3CD9">
        <w:rPr>
          <w:rFonts w:ascii="Times New Roman" w:hAnsi="Times New Roman" w:cs="Times New Roman"/>
        </w:rPr>
        <w:t>Theo nghiên cứu và tổng kết kinh nghiệm điển hình về Hàn Quốc, Trung Quốc (báo cáo của Ngân hàng thế giới tại hội thảo ngày 9/4/2023)</w:t>
      </w:r>
    </w:p>
  </w:footnote>
  <w:footnote w:id="3">
    <w:p w:rsidR="00BD46E7" w:rsidRPr="00286EB5" w:rsidRDefault="00BD46E7" w:rsidP="001F3F26">
      <w:pPr>
        <w:pStyle w:val="NoSpacing"/>
        <w:jc w:val="both"/>
        <w:rPr>
          <w:rFonts w:asciiTheme="majorHAnsi" w:hAnsiTheme="majorHAnsi" w:cstheme="majorHAnsi"/>
          <w:sz w:val="20"/>
          <w:szCs w:val="22"/>
          <w:lang w:val="en-GB"/>
        </w:rPr>
      </w:pPr>
      <w:r w:rsidRPr="00286EB5">
        <w:rPr>
          <w:rStyle w:val="FootnoteReference"/>
          <w:rFonts w:asciiTheme="majorHAnsi" w:hAnsiTheme="majorHAnsi" w:cstheme="majorHAnsi"/>
          <w:sz w:val="20"/>
          <w:szCs w:val="22"/>
          <w:lang w:val="en-GB"/>
        </w:rPr>
        <w:footnoteRef/>
      </w:r>
      <w:r w:rsidRPr="00286EB5">
        <w:rPr>
          <w:rFonts w:asciiTheme="majorHAnsi" w:hAnsiTheme="majorHAnsi" w:cstheme="majorHAnsi"/>
          <w:sz w:val="20"/>
          <w:szCs w:val="22"/>
          <w:lang w:val="en-GB"/>
        </w:rPr>
        <w:t xml:space="preserve"> Thẩm tra hưu trí cho người cao tuổi từ 80 tuổi trở lên và thẩm tra thu nhập cho người từ 60 tuổi trở lên.</w:t>
      </w:r>
    </w:p>
  </w:footnote>
  <w:footnote w:id="4">
    <w:p w:rsidR="00BD46E7" w:rsidRPr="00286EB5" w:rsidRDefault="00BD46E7" w:rsidP="001F3F26">
      <w:pPr>
        <w:pStyle w:val="NoSpacing"/>
        <w:jc w:val="both"/>
        <w:rPr>
          <w:rFonts w:asciiTheme="majorHAnsi" w:hAnsiTheme="majorHAnsi" w:cstheme="majorHAnsi"/>
          <w:lang w:val="en-GB"/>
        </w:rPr>
      </w:pPr>
      <w:r w:rsidRPr="00286EB5">
        <w:rPr>
          <w:rStyle w:val="FootnoteReference"/>
          <w:rFonts w:asciiTheme="majorHAnsi" w:hAnsiTheme="majorHAnsi" w:cstheme="majorHAnsi"/>
          <w:sz w:val="20"/>
          <w:szCs w:val="22"/>
          <w:lang w:val="en-GB"/>
        </w:rPr>
        <w:footnoteRef/>
      </w:r>
      <w:r w:rsidRPr="00286EB5">
        <w:rPr>
          <w:rFonts w:asciiTheme="majorHAnsi" w:hAnsiTheme="majorHAnsi" w:cstheme="majorHAnsi"/>
          <w:sz w:val="20"/>
          <w:szCs w:val="22"/>
          <w:lang w:val="en-GB"/>
        </w:rPr>
        <w:t xml:space="preserve"> </w:t>
      </w:r>
      <w:r w:rsidRPr="00286EB5">
        <w:rPr>
          <w:rFonts w:asciiTheme="majorHAnsi" w:hAnsiTheme="majorHAnsi" w:cstheme="majorHAnsi"/>
          <w:iCs/>
          <w:sz w:val="20"/>
          <w:szCs w:val="22"/>
          <w:lang w:val="en-GB"/>
        </w:rPr>
        <w:t>ILO (2014). Báo cáo toàn cầu về an sinh xã hội 2014/15; Palacios, R. (2015). Chương trình hưu trí cho dân số đang già hoá ở khu vực Đông Á và Thái Bình Dương. Ngân hàng Thế giới, Washington, DC.</w:t>
      </w:r>
    </w:p>
  </w:footnote>
  <w:footnote w:id="5">
    <w:p w:rsidR="00BD46E7" w:rsidRPr="0089503E" w:rsidRDefault="00BD46E7" w:rsidP="001F3F26">
      <w:pPr>
        <w:pStyle w:val="FootnoteText"/>
        <w:rPr>
          <w:rFonts w:asciiTheme="majorHAnsi" w:hAnsiTheme="majorHAnsi" w:cstheme="majorHAnsi"/>
          <w:lang w:val="en-GB"/>
        </w:rPr>
      </w:pPr>
      <w:r w:rsidRPr="0089503E">
        <w:rPr>
          <w:rStyle w:val="FootnoteReference"/>
          <w:rFonts w:asciiTheme="majorHAnsi" w:hAnsiTheme="majorHAnsi" w:cstheme="majorHAnsi"/>
          <w:lang w:val="en-GB"/>
        </w:rPr>
        <w:footnoteRef/>
      </w:r>
      <w:r w:rsidRPr="0089503E">
        <w:rPr>
          <w:rFonts w:asciiTheme="majorHAnsi" w:hAnsiTheme="majorHAnsi" w:cstheme="majorHAnsi"/>
          <w:lang w:val="en-GB"/>
        </w:rPr>
        <w:t xml:space="preserve"> Đông Timor gần đây (Tháng 3 năm 2016) thông qua luật mở rộng bao phủ bảo hiểm tới người lao động khu vực tư nhân thông qua chế độ trợ cấp sửa đổi tích hợp hai nhóm được quy định bảo hiểm</w:t>
      </w:r>
    </w:p>
  </w:footnote>
  <w:footnote w:id="6">
    <w:p w:rsidR="00BD46E7" w:rsidRPr="0089503E" w:rsidRDefault="00BD46E7" w:rsidP="001F3F26">
      <w:pPr>
        <w:pStyle w:val="FootnoteText"/>
        <w:rPr>
          <w:rFonts w:asciiTheme="majorHAnsi" w:hAnsiTheme="majorHAnsi" w:cstheme="majorHAnsi"/>
          <w:lang w:val="en-GB"/>
        </w:rPr>
      </w:pPr>
      <w:r w:rsidRPr="0089503E">
        <w:rPr>
          <w:rStyle w:val="FootnoteReference"/>
          <w:rFonts w:asciiTheme="majorHAnsi" w:hAnsiTheme="majorHAnsi" w:cstheme="majorHAnsi"/>
          <w:lang w:val="en-GB"/>
        </w:rPr>
        <w:footnoteRef/>
      </w:r>
      <w:r w:rsidRPr="0089503E">
        <w:rPr>
          <w:rFonts w:asciiTheme="majorHAnsi" w:hAnsiTheme="majorHAnsi" w:cstheme="majorHAnsi"/>
          <w:lang w:val="en-GB"/>
        </w:rPr>
        <w:t xml:space="preserve"> </w:t>
      </w:r>
      <w:r w:rsidRPr="0089503E">
        <w:rPr>
          <w:rFonts w:asciiTheme="majorHAnsi" w:hAnsiTheme="majorHAnsi" w:cstheme="majorHAnsi"/>
          <w:iCs/>
          <w:szCs w:val="22"/>
          <w:lang w:val="en-GB"/>
        </w:rPr>
        <w:t>Ngân hàng Thế giới</w:t>
      </w:r>
      <w:r w:rsidRPr="0089503E">
        <w:rPr>
          <w:rFonts w:asciiTheme="majorHAnsi" w:hAnsiTheme="majorHAnsi" w:cstheme="majorHAnsi"/>
          <w:szCs w:val="22"/>
          <w:lang w:val="en-GB" w:bidi="th-TH"/>
        </w:rPr>
        <w:t xml:space="preserve"> (2016). Sống lâu và thịnh vượng. </w:t>
      </w:r>
      <w:r w:rsidRPr="0089503E">
        <w:rPr>
          <w:rFonts w:asciiTheme="majorHAnsi" w:hAnsiTheme="majorHAnsi" w:cstheme="majorHAnsi"/>
          <w:iCs/>
          <w:szCs w:val="22"/>
          <w:lang w:val="en-GB"/>
        </w:rPr>
        <w:t>Ngân hàng Thế giới</w:t>
      </w:r>
      <w:r w:rsidRPr="0089503E">
        <w:rPr>
          <w:rFonts w:asciiTheme="majorHAnsi" w:hAnsiTheme="majorHAnsi" w:cstheme="majorHAnsi"/>
          <w:szCs w:val="22"/>
          <w:lang w:val="en-GB" w:bidi="th-TH"/>
        </w:rPr>
        <w:t>, Washington, DC.</w:t>
      </w:r>
    </w:p>
  </w:footnote>
  <w:footnote w:id="7">
    <w:p w:rsidR="00971474" w:rsidRPr="00971474" w:rsidRDefault="00971474">
      <w:pPr>
        <w:pStyle w:val="FootnoteText"/>
        <w:rPr>
          <w:rFonts w:asciiTheme="majorHAnsi" w:hAnsiTheme="majorHAnsi" w:cstheme="majorHAnsi"/>
        </w:rPr>
      </w:pPr>
      <w:r>
        <w:rPr>
          <w:rStyle w:val="FootnoteReference"/>
        </w:rPr>
        <w:footnoteRef/>
      </w:r>
      <w:r>
        <w:t xml:space="preserve"> </w:t>
      </w:r>
      <w:r w:rsidRPr="00971474">
        <w:rPr>
          <w:rFonts w:asciiTheme="majorHAnsi" w:hAnsiTheme="majorHAnsi" w:cstheme="majorHAnsi"/>
        </w:rPr>
        <w:t>Báo cáo tổng hợp của Ngân hàng thế giới tại hội thảo ngày 9/4/2023.</w:t>
      </w:r>
    </w:p>
  </w:footnote>
  <w:footnote w:id="8">
    <w:p w:rsidR="00BD46E7" w:rsidRPr="00C56F29" w:rsidRDefault="00BD46E7" w:rsidP="003609FB">
      <w:pPr>
        <w:pStyle w:val="FootnoteText"/>
        <w:rPr>
          <w:rFonts w:asciiTheme="majorHAnsi" w:hAnsiTheme="majorHAnsi" w:cstheme="majorHAnsi"/>
        </w:rPr>
      </w:pPr>
      <w:r w:rsidRPr="00985F71">
        <w:rPr>
          <w:rStyle w:val="FootnoteReference"/>
          <w:rFonts w:asciiTheme="majorHAnsi" w:hAnsiTheme="majorHAnsi" w:cstheme="majorHAnsi"/>
          <w:sz w:val="18"/>
          <w:szCs w:val="18"/>
        </w:rPr>
        <w:footnoteRef/>
      </w:r>
      <w:r w:rsidRPr="00985F71">
        <w:rPr>
          <w:rFonts w:asciiTheme="majorHAnsi" w:hAnsiTheme="majorHAnsi" w:cstheme="majorHAnsi"/>
          <w:sz w:val="18"/>
          <w:szCs w:val="18"/>
        </w:rPr>
        <w:t xml:space="preserve"> Ministry of Health of Singapore, </w:t>
      </w:r>
      <w:hyperlink r:id="rId1" w:history="1">
        <w:r w:rsidRPr="00985F71">
          <w:rPr>
            <w:rStyle w:val="Hyperlink"/>
            <w:rFonts w:asciiTheme="majorHAnsi" w:hAnsiTheme="majorHAnsi" w:cstheme="majorHAnsi"/>
            <w:sz w:val="18"/>
            <w:szCs w:val="18"/>
          </w:rPr>
          <w:t>https://www.moh.gov.sg</w:t>
        </w:r>
      </w:hyperlink>
      <w:r w:rsidRPr="00985F71">
        <w:rPr>
          <w:rFonts w:asciiTheme="majorHAnsi" w:hAnsiTheme="majorHAnsi" w:cstheme="majorHAnsi"/>
          <w:sz w:val="18"/>
          <w:szCs w:val="18"/>
        </w:rPr>
        <w:t xml:space="preserve"> (accessed on 11 August 2017).</w:t>
      </w:r>
    </w:p>
  </w:footnote>
  <w:footnote w:id="9">
    <w:p w:rsidR="00BD46E7" w:rsidRPr="00C56F29" w:rsidRDefault="00BD46E7" w:rsidP="003609FB">
      <w:pPr>
        <w:pStyle w:val="Footnotes"/>
      </w:pPr>
      <w:r w:rsidRPr="00C56F29">
        <w:rPr>
          <w:rStyle w:val="FootnoteReference"/>
          <w:rFonts w:asciiTheme="majorHAnsi" w:hAnsiTheme="majorHAnsi" w:cstheme="majorHAnsi"/>
          <w:szCs w:val="18"/>
        </w:rPr>
        <w:footnoteRef/>
      </w:r>
      <w:r w:rsidRPr="00C56F29">
        <w:t xml:space="preserve"> As reported by the World Bank: By the end of 2016, 50% of provinces in China combine the collection of social insurance through tax agencies.</w:t>
      </w:r>
    </w:p>
  </w:footnote>
  <w:footnote w:id="10">
    <w:p w:rsidR="00BD46E7" w:rsidRPr="00C56F29" w:rsidRDefault="00BD46E7" w:rsidP="003609FB">
      <w:pPr>
        <w:pStyle w:val="FootnoteText"/>
        <w:jc w:val="both"/>
        <w:rPr>
          <w:rFonts w:asciiTheme="majorHAnsi" w:hAnsiTheme="majorHAnsi" w:cstheme="majorHAnsi"/>
          <w:sz w:val="18"/>
          <w:szCs w:val="18"/>
          <w:lang w:val="en-GB"/>
        </w:rPr>
      </w:pPr>
      <w:r w:rsidRPr="00C56F29">
        <w:rPr>
          <w:rStyle w:val="FootnoteReference"/>
          <w:rFonts w:asciiTheme="majorHAnsi" w:hAnsiTheme="majorHAnsi" w:cstheme="majorHAnsi"/>
          <w:sz w:val="18"/>
          <w:szCs w:val="18"/>
        </w:rPr>
        <w:footnoteRef/>
      </w:r>
      <w:r w:rsidRPr="00C56F29">
        <w:rPr>
          <w:rFonts w:asciiTheme="majorHAnsi" w:hAnsiTheme="majorHAnsi" w:cstheme="majorHAnsi"/>
          <w:sz w:val="18"/>
          <w:szCs w:val="18"/>
        </w:rPr>
        <w:t>Monotax system in Uruguay and Argentina.</w:t>
      </w:r>
    </w:p>
  </w:footnote>
  <w:footnote w:id="11">
    <w:p w:rsidR="00BD46E7" w:rsidRPr="00C56F29" w:rsidRDefault="00BD46E7" w:rsidP="003609FB">
      <w:pPr>
        <w:pStyle w:val="FootnoteText"/>
        <w:rPr>
          <w:rFonts w:asciiTheme="majorHAnsi" w:hAnsiTheme="majorHAnsi" w:cstheme="majorHAnsi"/>
          <w:sz w:val="18"/>
          <w:szCs w:val="18"/>
        </w:rPr>
      </w:pPr>
      <w:r w:rsidRPr="00C56F29">
        <w:rPr>
          <w:rStyle w:val="FootnoteReference"/>
          <w:rFonts w:asciiTheme="majorHAnsi" w:hAnsiTheme="majorHAnsi" w:cstheme="majorHAnsi"/>
          <w:sz w:val="18"/>
          <w:szCs w:val="18"/>
        </w:rPr>
        <w:footnoteRef/>
      </w:r>
      <w:r>
        <w:rPr>
          <w:rFonts w:asciiTheme="majorHAnsi" w:hAnsiTheme="majorHAnsi" w:cstheme="majorHAnsi"/>
          <w:sz w:val="18"/>
          <w:szCs w:val="18"/>
        </w:rPr>
        <w:t>Séc Dịch vụ Việc làm Toàn dân (</w:t>
      </w:r>
      <w:r w:rsidRPr="00C56F29">
        <w:rPr>
          <w:rFonts w:asciiTheme="majorHAnsi" w:hAnsiTheme="majorHAnsi" w:cstheme="majorHAnsi"/>
          <w:sz w:val="18"/>
          <w:szCs w:val="18"/>
        </w:rPr>
        <w:t>Universal Service Employment Cheque</w:t>
      </w:r>
      <w:r>
        <w:rPr>
          <w:rFonts w:asciiTheme="majorHAnsi" w:hAnsiTheme="majorHAnsi" w:cstheme="majorHAnsi"/>
          <w:sz w:val="18"/>
          <w:szCs w:val="18"/>
        </w:rPr>
        <w:t>)ở Pháp</w:t>
      </w:r>
    </w:p>
  </w:footnote>
  <w:footnote w:id="12">
    <w:p w:rsidR="00BD46E7" w:rsidRPr="00C56F29" w:rsidRDefault="00BD46E7" w:rsidP="003609FB">
      <w:pPr>
        <w:pStyle w:val="FootnoteText"/>
        <w:rPr>
          <w:rFonts w:asciiTheme="majorHAnsi" w:hAnsiTheme="majorHAnsi" w:cstheme="majorHAnsi"/>
          <w:sz w:val="18"/>
          <w:szCs w:val="18"/>
        </w:rPr>
      </w:pPr>
      <w:r w:rsidRPr="00C56F29">
        <w:rPr>
          <w:rStyle w:val="FootnoteReference"/>
          <w:rFonts w:asciiTheme="majorHAnsi" w:hAnsiTheme="majorHAnsi" w:cstheme="majorHAnsi"/>
          <w:sz w:val="18"/>
          <w:szCs w:val="18"/>
        </w:rPr>
        <w:footnoteRef/>
      </w:r>
      <w:r w:rsidRPr="00C56F29">
        <w:rPr>
          <w:rFonts w:asciiTheme="majorHAnsi" w:hAnsiTheme="majorHAnsi" w:cstheme="majorHAnsi"/>
          <w:sz w:val="18"/>
          <w:szCs w:val="18"/>
        </w:rPr>
        <w:t xml:space="preserve"> Dartanto, t. at all, 2015: </w:t>
      </w:r>
      <w:r>
        <w:rPr>
          <w:rFonts w:asciiTheme="majorHAnsi" w:hAnsiTheme="majorHAnsi" w:cstheme="majorHAnsi"/>
          <w:sz w:val="18"/>
          <w:szCs w:val="18"/>
        </w:rPr>
        <w:t>Mở rộng Diện bao phủ Y tế trong thực tiễn khu vực phi chính thức ở In-đô-nê-xi-a</w:t>
      </w:r>
      <w:r w:rsidRPr="00C56F29">
        <w:rPr>
          <w:rFonts w:asciiTheme="majorHAnsi" w:hAnsiTheme="majorHAnsi" w:cstheme="majorHAnsi"/>
          <w:sz w:val="18"/>
          <w:szCs w:val="18"/>
        </w:rPr>
        <w:t xml:space="preserve"> (LPEM, </w:t>
      </w:r>
      <w:r>
        <w:rPr>
          <w:rFonts w:asciiTheme="majorHAnsi" w:hAnsiTheme="majorHAnsi" w:cstheme="majorHAnsi"/>
          <w:sz w:val="18"/>
          <w:szCs w:val="18"/>
        </w:rPr>
        <w:t>Khoa Kinh tế và Doanh nghiệp, Đại học In-đô-nê-xi-a, Gia-các-ta</w:t>
      </w:r>
      <w:r w:rsidRPr="00C56F29">
        <w:rPr>
          <w:rFonts w:asciiTheme="majorHAnsi" w:hAnsiTheme="majorHAnsi" w:cstheme="majorHAnsi"/>
          <w:sz w:val="18"/>
          <w:szCs w:val="18"/>
        </w:rPr>
        <w:t>)</w:t>
      </w:r>
    </w:p>
  </w:footnote>
  <w:footnote w:id="13">
    <w:p w:rsidR="00BD46E7" w:rsidRPr="002E7AFB" w:rsidRDefault="00BD46E7" w:rsidP="003609FB">
      <w:pPr>
        <w:pStyle w:val="FootnoteText"/>
        <w:rPr>
          <w:rFonts w:asciiTheme="majorHAnsi" w:hAnsiTheme="majorHAnsi" w:cstheme="majorHAnsi"/>
          <w:sz w:val="18"/>
          <w:szCs w:val="18"/>
          <w:lang w:val="en-GB"/>
        </w:rPr>
      </w:pPr>
      <w:r w:rsidRPr="002E7AFB">
        <w:rPr>
          <w:rStyle w:val="FootnoteReference"/>
          <w:rFonts w:asciiTheme="majorHAnsi" w:hAnsiTheme="majorHAnsi" w:cstheme="majorHAnsi"/>
          <w:sz w:val="18"/>
          <w:szCs w:val="18"/>
        </w:rPr>
        <w:footnoteRef/>
      </w:r>
      <w:r>
        <w:rPr>
          <w:rFonts w:asciiTheme="majorHAnsi" w:hAnsiTheme="majorHAnsi" w:cstheme="majorHAnsi"/>
          <w:sz w:val="18"/>
          <w:szCs w:val="18"/>
          <w:lang w:val="en-GB"/>
        </w:rPr>
        <w:t>Mông Cổ</w:t>
      </w:r>
    </w:p>
  </w:footnote>
  <w:footnote w:id="14">
    <w:p w:rsidR="00BD46E7" w:rsidRPr="00BF4D16" w:rsidRDefault="00BD46E7" w:rsidP="003609FB">
      <w:pPr>
        <w:pStyle w:val="FootnoteText"/>
      </w:pPr>
      <w:r w:rsidRPr="002E7AFB">
        <w:rPr>
          <w:rStyle w:val="FootnoteReference"/>
          <w:rFonts w:asciiTheme="majorHAnsi" w:hAnsiTheme="majorHAnsi" w:cstheme="majorHAnsi"/>
          <w:sz w:val="18"/>
          <w:szCs w:val="18"/>
        </w:rPr>
        <w:footnoteRef/>
      </w:r>
      <w:r>
        <w:rPr>
          <w:rFonts w:asciiTheme="majorHAnsi" w:hAnsiTheme="majorHAnsi" w:cstheme="majorHAnsi"/>
          <w:sz w:val="18"/>
          <w:szCs w:val="18"/>
          <w:lang w:val="en-GB"/>
        </w:rPr>
        <w:t>Mông Cổ</w:t>
      </w:r>
    </w:p>
  </w:footnote>
  <w:footnote w:id="15">
    <w:p w:rsidR="00BD46E7" w:rsidRPr="0089503E" w:rsidRDefault="00BD46E7" w:rsidP="00BD2D33">
      <w:pPr>
        <w:pStyle w:val="FootnoteText"/>
        <w:rPr>
          <w:rFonts w:asciiTheme="majorHAnsi" w:hAnsiTheme="majorHAnsi" w:cstheme="majorHAnsi"/>
        </w:rPr>
      </w:pPr>
      <w:r w:rsidRPr="0089503E">
        <w:rPr>
          <w:rStyle w:val="FootnoteReference"/>
          <w:rFonts w:asciiTheme="majorHAnsi" w:hAnsiTheme="majorHAnsi" w:cstheme="majorHAnsi"/>
        </w:rPr>
        <w:footnoteRef/>
      </w:r>
      <w:r w:rsidRPr="0089503E">
        <w:rPr>
          <w:rFonts w:asciiTheme="majorHAnsi" w:hAnsiTheme="majorHAnsi" w:cstheme="majorHAnsi"/>
        </w:rPr>
        <w:t xml:space="preserve"> Jieun Lee, ILO, 2016 (chưa xuất bản).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05EB8"/>
    <w:multiLevelType w:val="hybridMultilevel"/>
    <w:tmpl w:val="E536D40A"/>
    <w:lvl w:ilvl="0" w:tplc="A6A2337E">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E27A25"/>
    <w:multiLevelType w:val="hybridMultilevel"/>
    <w:tmpl w:val="3DDC7A24"/>
    <w:lvl w:ilvl="0" w:tplc="58E0265E">
      <w:start w:val="2"/>
      <w:numFmt w:val="decimal"/>
      <w:lvlText w:val="(%1)"/>
      <w:lvlJc w:val="left"/>
      <w:pPr>
        <w:ind w:left="211" w:hanging="386"/>
      </w:pPr>
      <w:rPr>
        <w:rFonts w:ascii="Century" w:eastAsia="Century" w:hAnsi="Century" w:cs="Century" w:hint="default"/>
        <w:spacing w:val="0"/>
        <w:w w:val="100"/>
        <w:sz w:val="22"/>
        <w:szCs w:val="22"/>
        <w:lang w:val="ja-JP" w:eastAsia="ja-JP" w:bidi="ja-JP"/>
      </w:rPr>
    </w:lvl>
    <w:lvl w:ilvl="1" w:tplc="4694F8C8">
      <w:start w:val="1"/>
      <w:numFmt w:val="lowerRoman"/>
      <w:lvlText w:val="(%2)"/>
      <w:lvlJc w:val="left"/>
      <w:pPr>
        <w:ind w:left="211" w:hanging="374"/>
      </w:pPr>
      <w:rPr>
        <w:rFonts w:ascii="Century" w:eastAsia="Century" w:hAnsi="Century" w:cs="Century" w:hint="default"/>
        <w:spacing w:val="0"/>
        <w:w w:val="100"/>
        <w:sz w:val="22"/>
        <w:szCs w:val="22"/>
        <w:lang w:val="ja-JP" w:eastAsia="ja-JP" w:bidi="ja-JP"/>
      </w:rPr>
    </w:lvl>
    <w:lvl w:ilvl="2" w:tplc="ABA2F502">
      <w:numFmt w:val="bullet"/>
      <w:lvlText w:val="•"/>
      <w:lvlJc w:val="left"/>
      <w:pPr>
        <w:ind w:left="2029" w:hanging="374"/>
      </w:pPr>
      <w:rPr>
        <w:rFonts w:hint="default"/>
        <w:lang w:val="ja-JP" w:eastAsia="ja-JP" w:bidi="ja-JP"/>
      </w:rPr>
    </w:lvl>
    <w:lvl w:ilvl="3" w:tplc="DE9EF8B8">
      <w:numFmt w:val="bullet"/>
      <w:lvlText w:val="•"/>
      <w:lvlJc w:val="left"/>
      <w:pPr>
        <w:ind w:left="2933" w:hanging="374"/>
      </w:pPr>
      <w:rPr>
        <w:rFonts w:hint="default"/>
        <w:lang w:val="ja-JP" w:eastAsia="ja-JP" w:bidi="ja-JP"/>
      </w:rPr>
    </w:lvl>
    <w:lvl w:ilvl="4" w:tplc="4FCA6FB6">
      <w:numFmt w:val="bullet"/>
      <w:lvlText w:val="•"/>
      <w:lvlJc w:val="left"/>
      <w:pPr>
        <w:ind w:left="3838" w:hanging="374"/>
      </w:pPr>
      <w:rPr>
        <w:rFonts w:hint="default"/>
        <w:lang w:val="ja-JP" w:eastAsia="ja-JP" w:bidi="ja-JP"/>
      </w:rPr>
    </w:lvl>
    <w:lvl w:ilvl="5" w:tplc="2D2200DA">
      <w:numFmt w:val="bullet"/>
      <w:lvlText w:val="•"/>
      <w:lvlJc w:val="left"/>
      <w:pPr>
        <w:ind w:left="4743" w:hanging="374"/>
      </w:pPr>
      <w:rPr>
        <w:rFonts w:hint="default"/>
        <w:lang w:val="ja-JP" w:eastAsia="ja-JP" w:bidi="ja-JP"/>
      </w:rPr>
    </w:lvl>
    <w:lvl w:ilvl="6" w:tplc="E422A784">
      <w:numFmt w:val="bullet"/>
      <w:lvlText w:val="•"/>
      <w:lvlJc w:val="left"/>
      <w:pPr>
        <w:ind w:left="5647" w:hanging="374"/>
      </w:pPr>
      <w:rPr>
        <w:rFonts w:hint="default"/>
        <w:lang w:val="ja-JP" w:eastAsia="ja-JP" w:bidi="ja-JP"/>
      </w:rPr>
    </w:lvl>
    <w:lvl w:ilvl="7" w:tplc="18EC7162">
      <w:numFmt w:val="bullet"/>
      <w:lvlText w:val="•"/>
      <w:lvlJc w:val="left"/>
      <w:pPr>
        <w:ind w:left="6552" w:hanging="374"/>
      </w:pPr>
      <w:rPr>
        <w:rFonts w:hint="default"/>
        <w:lang w:val="ja-JP" w:eastAsia="ja-JP" w:bidi="ja-JP"/>
      </w:rPr>
    </w:lvl>
    <w:lvl w:ilvl="8" w:tplc="3EBE8CDE">
      <w:numFmt w:val="bullet"/>
      <w:lvlText w:val="•"/>
      <w:lvlJc w:val="left"/>
      <w:pPr>
        <w:ind w:left="7457" w:hanging="374"/>
      </w:pPr>
      <w:rPr>
        <w:rFonts w:hint="default"/>
        <w:lang w:val="ja-JP" w:eastAsia="ja-JP" w:bidi="ja-JP"/>
      </w:rPr>
    </w:lvl>
  </w:abstractNum>
  <w:abstractNum w:abstractNumId="2" w15:restartNumberingAfterBreak="0">
    <w:nsid w:val="10203D8F"/>
    <w:multiLevelType w:val="hybridMultilevel"/>
    <w:tmpl w:val="C85E6956"/>
    <w:lvl w:ilvl="0" w:tplc="6DAE3CEC">
      <w:start w:val="1"/>
      <w:numFmt w:val="lowerRoman"/>
      <w:lvlText w:val="(%1)"/>
      <w:lvlJc w:val="left"/>
      <w:pPr>
        <w:ind w:left="211" w:hanging="302"/>
      </w:pPr>
      <w:rPr>
        <w:rFonts w:ascii="Century" w:eastAsia="Century" w:hAnsi="Century" w:cs="Century" w:hint="default"/>
        <w:spacing w:val="0"/>
        <w:w w:val="100"/>
        <w:sz w:val="22"/>
        <w:szCs w:val="22"/>
        <w:lang w:val="ja-JP" w:eastAsia="ja-JP" w:bidi="ja-JP"/>
      </w:rPr>
    </w:lvl>
    <w:lvl w:ilvl="1" w:tplc="ADFE9CE0">
      <w:numFmt w:val="bullet"/>
      <w:lvlText w:val="•"/>
      <w:lvlJc w:val="left"/>
      <w:pPr>
        <w:ind w:left="1124" w:hanging="302"/>
      </w:pPr>
      <w:rPr>
        <w:rFonts w:hint="default"/>
        <w:lang w:val="ja-JP" w:eastAsia="ja-JP" w:bidi="ja-JP"/>
      </w:rPr>
    </w:lvl>
    <w:lvl w:ilvl="2" w:tplc="BB02D0F2">
      <w:numFmt w:val="bullet"/>
      <w:lvlText w:val="•"/>
      <w:lvlJc w:val="left"/>
      <w:pPr>
        <w:ind w:left="2029" w:hanging="302"/>
      </w:pPr>
      <w:rPr>
        <w:rFonts w:hint="default"/>
        <w:lang w:val="ja-JP" w:eastAsia="ja-JP" w:bidi="ja-JP"/>
      </w:rPr>
    </w:lvl>
    <w:lvl w:ilvl="3" w:tplc="577E12EC">
      <w:numFmt w:val="bullet"/>
      <w:lvlText w:val="•"/>
      <w:lvlJc w:val="left"/>
      <w:pPr>
        <w:ind w:left="2933" w:hanging="302"/>
      </w:pPr>
      <w:rPr>
        <w:rFonts w:hint="default"/>
        <w:lang w:val="ja-JP" w:eastAsia="ja-JP" w:bidi="ja-JP"/>
      </w:rPr>
    </w:lvl>
    <w:lvl w:ilvl="4" w:tplc="31865D7A">
      <w:numFmt w:val="bullet"/>
      <w:lvlText w:val="•"/>
      <w:lvlJc w:val="left"/>
      <w:pPr>
        <w:ind w:left="3838" w:hanging="302"/>
      </w:pPr>
      <w:rPr>
        <w:rFonts w:hint="default"/>
        <w:lang w:val="ja-JP" w:eastAsia="ja-JP" w:bidi="ja-JP"/>
      </w:rPr>
    </w:lvl>
    <w:lvl w:ilvl="5" w:tplc="83C8EE16">
      <w:numFmt w:val="bullet"/>
      <w:lvlText w:val="•"/>
      <w:lvlJc w:val="left"/>
      <w:pPr>
        <w:ind w:left="4743" w:hanging="302"/>
      </w:pPr>
      <w:rPr>
        <w:rFonts w:hint="default"/>
        <w:lang w:val="ja-JP" w:eastAsia="ja-JP" w:bidi="ja-JP"/>
      </w:rPr>
    </w:lvl>
    <w:lvl w:ilvl="6" w:tplc="77E28AAE">
      <w:numFmt w:val="bullet"/>
      <w:lvlText w:val="•"/>
      <w:lvlJc w:val="left"/>
      <w:pPr>
        <w:ind w:left="5647" w:hanging="302"/>
      </w:pPr>
      <w:rPr>
        <w:rFonts w:hint="default"/>
        <w:lang w:val="ja-JP" w:eastAsia="ja-JP" w:bidi="ja-JP"/>
      </w:rPr>
    </w:lvl>
    <w:lvl w:ilvl="7" w:tplc="B1DE296E">
      <w:numFmt w:val="bullet"/>
      <w:lvlText w:val="•"/>
      <w:lvlJc w:val="left"/>
      <w:pPr>
        <w:ind w:left="6552" w:hanging="302"/>
      </w:pPr>
      <w:rPr>
        <w:rFonts w:hint="default"/>
        <w:lang w:val="ja-JP" w:eastAsia="ja-JP" w:bidi="ja-JP"/>
      </w:rPr>
    </w:lvl>
    <w:lvl w:ilvl="8" w:tplc="D67CDAF8">
      <w:numFmt w:val="bullet"/>
      <w:lvlText w:val="•"/>
      <w:lvlJc w:val="left"/>
      <w:pPr>
        <w:ind w:left="7457" w:hanging="302"/>
      </w:pPr>
      <w:rPr>
        <w:rFonts w:hint="default"/>
        <w:lang w:val="ja-JP" w:eastAsia="ja-JP" w:bidi="ja-JP"/>
      </w:rPr>
    </w:lvl>
  </w:abstractNum>
  <w:abstractNum w:abstractNumId="3" w15:restartNumberingAfterBreak="0">
    <w:nsid w:val="10D7328A"/>
    <w:multiLevelType w:val="multilevel"/>
    <w:tmpl w:val="297A80DA"/>
    <w:lvl w:ilvl="0">
      <w:start w:val="1"/>
      <w:numFmt w:val="decimal"/>
      <w:lvlText w:val="%1."/>
      <w:lvlJc w:val="left"/>
      <w:pPr>
        <w:ind w:left="450" w:hanging="450"/>
      </w:pPr>
      <w:rPr>
        <w:rFonts w:hint="default"/>
      </w:rPr>
    </w:lvl>
    <w:lvl w:ilvl="1">
      <w:start w:val="6"/>
      <w:numFmt w:val="decimal"/>
      <w:lvlText w:val="%1.%2."/>
      <w:lvlJc w:val="left"/>
      <w:pPr>
        <w:ind w:left="99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 w15:restartNumberingAfterBreak="0">
    <w:nsid w:val="125C17ED"/>
    <w:multiLevelType w:val="multilevel"/>
    <w:tmpl w:val="46465242"/>
    <w:lvl w:ilvl="0">
      <w:start w:val="1"/>
      <w:numFmt w:val="decimal"/>
      <w:lvlText w:val="%1."/>
      <w:lvlJc w:val="left"/>
      <w:pPr>
        <w:ind w:left="720"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5BA7789"/>
    <w:multiLevelType w:val="multilevel"/>
    <w:tmpl w:val="BB12501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1017" w:hanging="45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26640972"/>
    <w:multiLevelType w:val="hybridMultilevel"/>
    <w:tmpl w:val="7D44F71C"/>
    <w:lvl w:ilvl="0" w:tplc="842C27C8">
      <w:start w:val="1"/>
      <w:numFmt w:val="lowerLetter"/>
      <w:lvlText w:val="(%1)"/>
      <w:lvlJc w:val="right"/>
      <w:pPr>
        <w:ind w:left="785" w:hanging="360"/>
      </w:pPr>
      <w:rPr>
        <w:rFonts w:hint="default"/>
        <w:i w:val="0"/>
        <w:spacing w:val="0"/>
        <w:w w:val="100"/>
        <w:sz w:val="24"/>
        <w:szCs w:val="24"/>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30C65C33"/>
    <w:multiLevelType w:val="multilevel"/>
    <w:tmpl w:val="9A66E4C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8624B06"/>
    <w:multiLevelType w:val="hybridMultilevel"/>
    <w:tmpl w:val="C1AEB05A"/>
    <w:lvl w:ilvl="0" w:tplc="07A237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35339E"/>
    <w:multiLevelType w:val="hybridMultilevel"/>
    <w:tmpl w:val="ED7C51F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41E70EA"/>
    <w:multiLevelType w:val="hybridMultilevel"/>
    <w:tmpl w:val="036455B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6850FAA"/>
    <w:multiLevelType w:val="hybridMultilevel"/>
    <w:tmpl w:val="1F185A9A"/>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15:restartNumberingAfterBreak="0">
    <w:nsid w:val="5B187AB8"/>
    <w:multiLevelType w:val="multilevel"/>
    <w:tmpl w:val="6FEABD7E"/>
    <w:lvl w:ilvl="0">
      <w:start w:val="1"/>
      <w:numFmt w:val="upperRoman"/>
      <w:lvlText w:val="%1."/>
      <w:lvlJc w:val="left"/>
      <w:pPr>
        <w:ind w:left="1080" w:hanging="720"/>
      </w:pPr>
      <w:rPr>
        <w:rFonts w:hint="default"/>
      </w:rPr>
    </w:lvl>
    <w:lvl w:ilvl="1">
      <w:start w:val="5"/>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6EE81A09"/>
    <w:multiLevelType w:val="hybridMultilevel"/>
    <w:tmpl w:val="0E067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827D88"/>
    <w:multiLevelType w:val="hybridMultilevel"/>
    <w:tmpl w:val="63AE670E"/>
    <w:lvl w:ilvl="0" w:tplc="B50ABB9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7A293A99"/>
    <w:multiLevelType w:val="hybridMultilevel"/>
    <w:tmpl w:val="7E3E964C"/>
    <w:lvl w:ilvl="0" w:tplc="14183C8E">
      <w:start w:val="3"/>
      <w:numFmt w:val="lowerLetter"/>
      <w:lvlText w:val="%1)"/>
      <w:lvlJc w:val="left"/>
      <w:pPr>
        <w:ind w:left="1080" w:hanging="360"/>
      </w:pPr>
      <w:rPr>
        <w:rFonts w:eastAsiaTheme="maj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C3710DD"/>
    <w:multiLevelType w:val="hybridMultilevel"/>
    <w:tmpl w:val="26B09016"/>
    <w:lvl w:ilvl="0" w:tplc="87DC892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6"/>
  </w:num>
  <w:num w:numId="4">
    <w:abstractNumId w:val="13"/>
  </w:num>
  <w:num w:numId="5">
    <w:abstractNumId w:val="9"/>
  </w:num>
  <w:num w:numId="6">
    <w:abstractNumId w:val="0"/>
  </w:num>
  <w:num w:numId="7">
    <w:abstractNumId w:val="6"/>
  </w:num>
  <w:num w:numId="8">
    <w:abstractNumId w:val="14"/>
  </w:num>
  <w:num w:numId="9">
    <w:abstractNumId w:val="5"/>
  </w:num>
  <w:num w:numId="10">
    <w:abstractNumId w:val="4"/>
  </w:num>
  <w:num w:numId="11">
    <w:abstractNumId w:val="7"/>
  </w:num>
  <w:num w:numId="12">
    <w:abstractNumId w:val="3"/>
  </w:num>
  <w:num w:numId="13">
    <w:abstractNumId w:val="2"/>
  </w:num>
  <w:num w:numId="14">
    <w:abstractNumId w:val="1"/>
  </w:num>
  <w:num w:numId="15">
    <w:abstractNumId w:val="12"/>
  </w:num>
  <w:num w:numId="16">
    <w:abstractNumId w:val="8"/>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864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B32"/>
    <w:rsid w:val="0000162D"/>
    <w:rsid w:val="0000516F"/>
    <w:rsid w:val="00005EBA"/>
    <w:rsid w:val="00010AA5"/>
    <w:rsid w:val="00013ACA"/>
    <w:rsid w:val="000152EE"/>
    <w:rsid w:val="00016721"/>
    <w:rsid w:val="00023F83"/>
    <w:rsid w:val="000240F2"/>
    <w:rsid w:val="00026441"/>
    <w:rsid w:val="00035A53"/>
    <w:rsid w:val="00040401"/>
    <w:rsid w:val="00056756"/>
    <w:rsid w:val="000572E5"/>
    <w:rsid w:val="0006313B"/>
    <w:rsid w:val="000649B8"/>
    <w:rsid w:val="000657D8"/>
    <w:rsid w:val="000674A5"/>
    <w:rsid w:val="00074FF8"/>
    <w:rsid w:val="00076773"/>
    <w:rsid w:val="0008033C"/>
    <w:rsid w:val="00085398"/>
    <w:rsid w:val="00085B77"/>
    <w:rsid w:val="000900C9"/>
    <w:rsid w:val="00095122"/>
    <w:rsid w:val="000A778A"/>
    <w:rsid w:val="000B2EB1"/>
    <w:rsid w:val="000B41F7"/>
    <w:rsid w:val="000C170B"/>
    <w:rsid w:val="000C1945"/>
    <w:rsid w:val="000C3C30"/>
    <w:rsid w:val="000D5E68"/>
    <w:rsid w:val="000D67A1"/>
    <w:rsid w:val="00102281"/>
    <w:rsid w:val="00103963"/>
    <w:rsid w:val="00103D13"/>
    <w:rsid w:val="00107A7C"/>
    <w:rsid w:val="00113800"/>
    <w:rsid w:val="00141033"/>
    <w:rsid w:val="001473E4"/>
    <w:rsid w:val="00152BE4"/>
    <w:rsid w:val="00156C2A"/>
    <w:rsid w:val="00161C7E"/>
    <w:rsid w:val="00163912"/>
    <w:rsid w:val="00172A3B"/>
    <w:rsid w:val="00177506"/>
    <w:rsid w:val="0018023B"/>
    <w:rsid w:val="00181617"/>
    <w:rsid w:val="001841ED"/>
    <w:rsid w:val="00190C0D"/>
    <w:rsid w:val="00194275"/>
    <w:rsid w:val="001B168B"/>
    <w:rsid w:val="001B4689"/>
    <w:rsid w:val="001B5674"/>
    <w:rsid w:val="001B5FC6"/>
    <w:rsid w:val="001C16F2"/>
    <w:rsid w:val="001C1B9D"/>
    <w:rsid w:val="001C2F58"/>
    <w:rsid w:val="001C5464"/>
    <w:rsid w:val="001D1CE7"/>
    <w:rsid w:val="001D4F97"/>
    <w:rsid w:val="001D66CE"/>
    <w:rsid w:val="001E0FD8"/>
    <w:rsid w:val="001E13BB"/>
    <w:rsid w:val="001F1AB3"/>
    <w:rsid w:val="001F3934"/>
    <w:rsid w:val="001F3F26"/>
    <w:rsid w:val="002118B4"/>
    <w:rsid w:val="00214D54"/>
    <w:rsid w:val="002207BC"/>
    <w:rsid w:val="00222EE8"/>
    <w:rsid w:val="002272E9"/>
    <w:rsid w:val="002313CA"/>
    <w:rsid w:val="00231CFD"/>
    <w:rsid w:val="0023210F"/>
    <w:rsid w:val="0023455E"/>
    <w:rsid w:val="00242160"/>
    <w:rsid w:val="00243370"/>
    <w:rsid w:val="00243F3E"/>
    <w:rsid w:val="00247E63"/>
    <w:rsid w:val="00250BCD"/>
    <w:rsid w:val="00272025"/>
    <w:rsid w:val="00274C39"/>
    <w:rsid w:val="00280E71"/>
    <w:rsid w:val="00286EB5"/>
    <w:rsid w:val="0029071B"/>
    <w:rsid w:val="002A0698"/>
    <w:rsid w:val="002A35A0"/>
    <w:rsid w:val="002A6C51"/>
    <w:rsid w:val="002B6793"/>
    <w:rsid w:val="002B76A3"/>
    <w:rsid w:val="002C3818"/>
    <w:rsid w:val="002C7E1F"/>
    <w:rsid w:val="002D2281"/>
    <w:rsid w:val="002D3523"/>
    <w:rsid w:val="002D7221"/>
    <w:rsid w:val="002E1EE7"/>
    <w:rsid w:val="002E3CD9"/>
    <w:rsid w:val="002E76C9"/>
    <w:rsid w:val="002F30D4"/>
    <w:rsid w:val="002F3397"/>
    <w:rsid w:val="002F7420"/>
    <w:rsid w:val="00302D90"/>
    <w:rsid w:val="003034AB"/>
    <w:rsid w:val="0030415D"/>
    <w:rsid w:val="003056A4"/>
    <w:rsid w:val="00306C08"/>
    <w:rsid w:val="0031204C"/>
    <w:rsid w:val="003262DF"/>
    <w:rsid w:val="003339A4"/>
    <w:rsid w:val="00336F8E"/>
    <w:rsid w:val="003609FB"/>
    <w:rsid w:val="00370B86"/>
    <w:rsid w:val="003733D3"/>
    <w:rsid w:val="003736DB"/>
    <w:rsid w:val="0037570B"/>
    <w:rsid w:val="003758F4"/>
    <w:rsid w:val="00376BD5"/>
    <w:rsid w:val="00381DF1"/>
    <w:rsid w:val="00384563"/>
    <w:rsid w:val="003912D3"/>
    <w:rsid w:val="00392157"/>
    <w:rsid w:val="0039671C"/>
    <w:rsid w:val="003A2691"/>
    <w:rsid w:val="003A3C8B"/>
    <w:rsid w:val="003A5615"/>
    <w:rsid w:val="003A59D4"/>
    <w:rsid w:val="003B3CDA"/>
    <w:rsid w:val="003B7838"/>
    <w:rsid w:val="003C0B9F"/>
    <w:rsid w:val="003C25BD"/>
    <w:rsid w:val="003C6BB7"/>
    <w:rsid w:val="003C72C0"/>
    <w:rsid w:val="003C7644"/>
    <w:rsid w:val="003D0DB7"/>
    <w:rsid w:val="003D1C5C"/>
    <w:rsid w:val="003D5831"/>
    <w:rsid w:val="003D6CAD"/>
    <w:rsid w:val="003E55D9"/>
    <w:rsid w:val="003E711E"/>
    <w:rsid w:val="003E7C59"/>
    <w:rsid w:val="003F0133"/>
    <w:rsid w:val="003F05C4"/>
    <w:rsid w:val="003F1122"/>
    <w:rsid w:val="003F738D"/>
    <w:rsid w:val="004000E5"/>
    <w:rsid w:val="00401A40"/>
    <w:rsid w:val="0040399F"/>
    <w:rsid w:val="00406836"/>
    <w:rsid w:val="00411CD3"/>
    <w:rsid w:val="00415FF2"/>
    <w:rsid w:val="00420773"/>
    <w:rsid w:val="00421EB8"/>
    <w:rsid w:val="00431017"/>
    <w:rsid w:val="00431943"/>
    <w:rsid w:val="00433510"/>
    <w:rsid w:val="0044037B"/>
    <w:rsid w:val="00442113"/>
    <w:rsid w:val="00446414"/>
    <w:rsid w:val="00446DF9"/>
    <w:rsid w:val="00462927"/>
    <w:rsid w:val="00467090"/>
    <w:rsid w:val="00471A83"/>
    <w:rsid w:val="004774EE"/>
    <w:rsid w:val="00481301"/>
    <w:rsid w:val="0048559C"/>
    <w:rsid w:val="00486AD4"/>
    <w:rsid w:val="004908E6"/>
    <w:rsid w:val="00490997"/>
    <w:rsid w:val="004956B5"/>
    <w:rsid w:val="0049667A"/>
    <w:rsid w:val="004A0FC6"/>
    <w:rsid w:val="004A41FA"/>
    <w:rsid w:val="004B41AF"/>
    <w:rsid w:val="004B4395"/>
    <w:rsid w:val="004B5BFC"/>
    <w:rsid w:val="004B620A"/>
    <w:rsid w:val="004C0095"/>
    <w:rsid w:val="004C1FF2"/>
    <w:rsid w:val="004C4903"/>
    <w:rsid w:val="004C5A9F"/>
    <w:rsid w:val="004D0D9A"/>
    <w:rsid w:val="004D2530"/>
    <w:rsid w:val="004D397E"/>
    <w:rsid w:val="004D3FE1"/>
    <w:rsid w:val="004D440B"/>
    <w:rsid w:val="004E1C1F"/>
    <w:rsid w:val="004E210D"/>
    <w:rsid w:val="004E6C15"/>
    <w:rsid w:val="004F0880"/>
    <w:rsid w:val="004F22AA"/>
    <w:rsid w:val="004F7BA2"/>
    <w:rsid w:val="00500B95"/>
    <w:rsid w:val="005067C5"/>
    <w:rsid w:val="0051195E"/>
    <w:rsid w:val="005124C7"/>
    <w:rsid w:val="00512A52"/>
    <w:rsid w:val="0052446F"/>
    <w:rsid w:val="00531D72"/>
    <w:rsid w:val="00532762"/>
    <w:rsid w:val="00533670"/>
    <w:rsid w:val="0053452F"/>
    <w:rsid w:val="00546AB7"/>
    <w:rsid w:val="00547C3A"/>
    <w:rsid w:val="00547EE3"/>
    <w:rsid w:val="0055386C"/>
    <w:rsid w:val="00571C84"/>
    <w:rsid w:val="00573BE8"/>
    <w:rsid w:val="00577EAF"/>
    <w:rsid w:val="00580AD8"/>
    <w:rsid w:val="00581F2D"/>
    <w:rsid w:val="00590C83"/>
    <w:rsid w:val="00594776"/>
    <w:rsid w:val="005A2645"/>
    <w:rsid w:val="005B0390"/>
    <w:rsid w:val="005B1DCA"/>
    <w:rsid w:val="005B1F79"/>
    <w:rsid w:val="005B2580"/>
    <w:rsid w:val="005C1922"/>
    <w:rsid w:val="005C32A0"/>
    <w:rsid w:val="005C4504"/>
    <w:rsid w:val="005C6C27"/>
    <w:rsid w:val="005D2930"/>
    <w:rsid w:val="005D762F"/>
    <w:rsid w:val="005E1C1C"/>
    <w:rsid w:val="005E3A34"/>
    <w:rsid w:val="005E4BFC"/>
    <w:rsid w:val="005F2600"/>
    <w:rsid w:val="005F2685"/>
    <w:rsid w:val="005F4995"/>
    <w:rsid w:val="005F6AA0"/>
    <w:rsid w:val="006017DE"/>
    <w:rsid w:val="00606145"/>
    <w:rsid w:val="00606D3B"/>
    <w:rsid w:val="00607D9C"/>
    <w:rsid w:val="00614B8B"/>
    <w:rsid w:val="00617C24"/>
    <w:rsid w:val="0062052E"/>
    <w:rsid w:val="00621ED8"/>
    <w:rsid w:val="00621FDC"/>
    <w:rsid w:val="00622E7D"/>
    <w:rsid w:val="00623148"/>
    <w:rsid w:val="0062384B"/>
    <w:rsid w:val="00627794"/>
    <w:rsid w:val="0063121A"/>
    <w:rsid w:val="006433E2"/>
    <w:rsid w:val="0064467A"/>
    <w:rsid w:val="0064777E"/>
    <w:rsid w:val="00650ACD"/>
    <w:rsid w:val="0065582F"/>
    <w:rsid w:val="00660181"/>
    <w:rsid w:val="0066581A"/>
    <w:rsid w:val="00670767"/>
    <w:rsid w:val="00672889"/>
    <w:rsid w:val="00674CD6"/>
    <w:rsid w:val="00677FC0"/>
    <w:rsid w:val="00683048"/>
    <w:rsid w:val="006841A9"/>
    <w:rsid w:val="00695028"/>
    <w:rsid w:val="0069571C"/>
    <w:rsid w:val="006A18D8"/>
    <w:rsid w:val="006A500D"/>
    <w:rsid w:val="006A6DA4"/>
    <w:rsid w:val="006B0123"/>
    <w:rsid w:val="006B1289"/>
    <w:rsid w:val="006B2C00"/>
    <w:rsid w:val="006B426E"/>
    <w:rsid w:val="006B58CD"/>
    <w:rsid w:val="006B6DA7"/>
    <w:rsid w:val="006C2979"/>
    <w:rsid w:val="006C37F4"/>
    <w:rsid w:val="006D3392"/>
    <w:rsid w:val="006D4ACF"/>
    <w:rsid w:val="006D585B"/>
    <w:rsid w:val="006D6813"/>
    <w:rsid w:val="006E12F1"/>
    <w:rsid w:val="006E5F55"/>
    <w:rsid w:val="006F1A0F"/>
    <w:rsid w:val="006F4797"/>
    <w:rsid w:val="006F50E5"/>
    <w:rsid w:val="006F63AF"/>
    <w:rsid w:val="00702810"/>
    <w:rsid w:val="00705032"/>
    <w:rsid w:val="0070627F"/>
    <w:rsid w:val="00710391"/>
    <w:rsid w:val="00713463"/>
    <w:rsid w:val="00716763"/>
    <w:rsid w:val="0071690A"/>
    <w:rsid w:val="00716EC5"/>
    <w:rsid w:val="007275BC"/>
    <w:rsid w:val="00732206"/>
    <w:rsid w:val="0073251B"/>
    <w:rsid w:val="007354FA"/>
    <w:rsid w:val="00743205"/>
    <w:rsid w:val="00751773"/>
    <w:rsid w:val="0077085B"/>
    <w:rsid w:val="007745BC"/>
    <w:rsid w:val="0077511C"/>
    <w:rsid w:val="00781EE7"/>
    <w:rsid w:val="007932DD"/>
    <w:rsid w:val="00796DC5"/>
    <w:rsid w:val="007A2506"/>
    <w:rsid w:val="007A7CD1"/>
    <w:rsid w:val="007B3100"/>
    <w:rsid w:val="007B5264"/>
    <w:rsid w:val="007C1DB5"/>
    <w:rsid w:val="007C2F44"/>
    <w:rsid w:val="007E13B5"/>
    <w:rsid w:val="007E2728"/>
    <w:rsid w:val="007E6C1F"/>
    <w:rsid w:val="007F085C"/>
    <w:rsid w:val="007F1D27"/>
    <w:rsid w:val="007F3BA2"/>
    <w:rsid w:val="007F75F8"/>
    <w:rsid w:val="00802832"/>
    <w:rsid w:val="008044FE"/>
    <w:rsid w:val="0082232E"/>
    <w:rsid w:val="00825B1A"/>
    <w:rsid w:val="00830ED8"/>
    <w:rsid w:val="00830F94"/>
    <w:rsid w:val="0083292A"/>
    <w:rsid w:val="008334A3"/>
    <w:rsid w:val="008339C3"/>
    <w:rsid w:val="00834117"/>
    <w:rsid w:val="008354C2"/>
    <w:rsid w:val="008356D3"/>
    <w:rsid w:val="008366A1"/>
    <w:rsid w:val="008407DB"/>
    <w:rsid w:val="00842345"/>
    <w:rsid w:val="00842B9C"/>
    <w:rsid w:val="00847DD2"/>
    <w:rsid w:val="008572DD"/>
    <w:rsid w:val="00861CDD"/>
    <w:rsid w:val="0086584C"/>
    <w:rsid w:val="008727F8"/>
    <w:rsid w:val="008824CB"/>
    <w:rsid w:val="008928C1"/>
    <w:rsid w:val="0089503E"/>
    <w:rsid w:val="008A0330"/>
    <w:rsid w:val="008A18AC"/>
    <w:rsid w:val="008A4600"/>
    <w:rsid w:val="008A4928"/>
    <w:rsid w:val="008B3FA6"/>
    <w:rsid w:val="008B4104"/>
    <w:rsid w:val="008B530A"/>
    <w:rsid w:val="008B718D"/>
    <w:rsid w:val="008B78E0"/>
    <w:rsid w:val="008C4A53"/>
    <w:rsid w:val="008D2306"/>
    <w:rsid w:val="008D3027"/>
    <w:rsid w:val="008D3CE9"/>
    <w:rsid w:val="008D42EC"/>
    <w:rsid w:val="008D4E40"/>
    <w:rsid w:val="008D53EB"/>
    <w:rsid w:val="008D7101"/>
    <w:rsid w:val="008D7415"/>
    <w:rsid w:val="008E2225"/>
    <w:rsid w:val="008E778F"/>
    <w:rsid w:val="008F7AD3"/>
    <w:rsid w:val="00902725"/>
    <w:rsid w:val="0090639C"/>
    <w:rsid w:val="009120C8"/>
    <w:rsid w:val="009174C1"/>
    <w:rsid w:val="009274E0"/>
    <w:rsid w:val="00927D7B"/>
    <w:rsid w:val="0093237E"/>
    <w:rsid w:val="00941515"/>
    <w:rsid w:val="00942280"/>
    <w:rsid w:val="00946688"/>
    <w:rsid w:val="00953318"/>
    <w:rsid w:val="00954057"/>
    <w:rsid w:val="00955D26"/>
    <w:rsid w:val="009578E4"/>
    <w:rsid w:val="00960567"/>
    <w:rsid w:val="0096062F"/>
    <w:rsid w:val="00961873"/>
    <w:rsid w:val="00961971"/>
    <w:rsid w:val="00963FD8"/>
    <w:rsid w:val="00966019"/>
    <w:rsid w:val="00971474"/>
    <w:rsid w:val="00974EB2"/>
    <w:rsid w:val="00977822"/>
    <w:rsid w:val="00980C54"/>
    <w:rsid w:val="00985DEF"/>
    <w:rsid w:val="00987D4B"/>
    <w:rsid w:val="00994B85"/>
    <w:rsid w:val="009966D3"/>
    <w:rsid w:val="009A1155"/>
    <w:rsid w:val="009A17E8"/>
    <w:rsid w:val="009A44B3"/>
    <w:rsid w:val="009A69A9"/>
    <w:rsid w:val="009A7C46"/>
    <w:rsid w:val="009B059E"/>
    <w:rsid w:val="009B05D5"/>
    <w:rsid w:val="009B37BB"/>
    <w:rsid w:val="009B4117"/>
    <w:rsid w:val="009B5F58"/>
    <w:rsid w:val="009C4A92"/>
    <w:rsid w:val="009C738E"/>
    <w:rsid w:val="009D36A1"/>
    <w:rsid w:val="009D6284"/>
    <w:rsid w:val="009E4134"/>
    <w:rsid w:val="009E6FC1"/>
    <w:rsid w:val="009F03B3"/>
    <w:rsid w:val="009F16B7"/>
    <w:rsid w:val="009F5366"/>
    <w:rsid w:val="00A03F50"/>
    <w:rsid w:val="00A0401E"/>
    <w:rsid w:val="00A109B7"/>
    <w:rsid w:val="00A16A86"/>
    <w:rsid w:val="00A23B68"/>
    <w:rsid w:val="00A27141"/>
    <w:rsid w:val="00A27303"/>
    <w:rsid w:val="00A305C3"/>
    <w:rsid w:val="00A45285"/>
    <w:rsid w:val="00A735F3"/>
    <w:rsid w:val="00A74016"/>
    <w:rsid w:val="00A743F7"/>
    <w:rsid w:val="00A77C66"/>
    <w:rsid w:val="00A82160"/>
    <w:rsid w:val="00A835DD"/>
    <w:rsid w:val="00A852E3"/>
    <w:rsid w:val="00A86E72"/>
    <w:rsid w:val="00A87254"/>
    <w:rsid w:val="00A93137"/>
    <w:rsid w:val="00A94181"/>
    <w:rsid w:val="00A97B8B"/>
    <w:rsid w:val="00AA14BD"/>
    <w:rsid w:val="00AA3E38"/>
    <w:rsid w:val="00AA4BE4"/>
    <w:rsid w:val="00AA5BDB"/>
    <w:rsid w:val="00AA6D27"/>
    <w:rsid w:val="00AB3E48"/>
    <w:rsid w:val="00AB42FF"/>
    <w:rsid w:val="00AB51DC"/>
    <w:rsid w:val="00AC0339"/>
    <w:rsid w:val="00AD1BE7"/>
    <w:rsid w:val="00AD54CB"/>
    <w:rsid w:val="00AE16CD"/>
    <w:rsid w:val="00AF6E0D"/>
    <w:rsid w:val="00AF6FA1"/>
    <w:rsid w:val="00B00054"/>
    <w:rsid w:val="00B0052F"/>
    <w:rsid w:val="00B02CA3"/>
    <w:rsid w:val="00B079A9"/>
    <w:rsid w:val="00B12B9C"/>
    <w:rsid w:val="00B1548A"/>
    <w:rsid w:val="00B217EB"/>
    <w:rsid w:val="00B33794"/>
    <w:rsid w:val="00B364C2"/>
    <w:rsid w:val="00B40B74"/>
    <w:rsid w:val="00B428FD"/>
    <w:rsid w:val="00B42BE3"/>
    <w:rsid w:val="00B44E29"/>
    <w:rsid w:val="00B4540F"/>
    <w:rsid w:val="00B465BB"/>
    <w:rsid w:val="00B466FE"/>
    <w:rsid w:val="00B478C3"/>
    <w:rsid w:val="00B520A7"/>
    <w:rsid w:val="00B61F73"/>
    <w:rsid w:val="00B62057"/>
    <w:rsid w:val="00B62594"/>
    <w:rsid w:val="00B63FC7"/>
    <w:rsid w:val="00B63FEC"/>
    <w:rsid w:val="00B6521F"/>
    <w:rsid w:val="00B72BA3"/>
    <w:rsid w:val="00B751F4"/>
    <w:rsid w:val="00B9354E"/>
    <w:rsid w:val="00BA0C83"/>
    <w:rsid w:val="00BA71DF"/>
    <w:rsid w:val="00BA7679"/>
    <w:rsid w:val="00BB0B3E"/>
    <w:rsid w:val="00BB4F3E"/>
    <w:rsid w:val="00BB73B1"/>
    <w:rsid w:val="00BC079E"/>
    <w:rsid w:val="00BC6591"/>
    <w:rsid w:val="00BC6E9C"/>
    <w:rsid w:val="00BD2D33"/>
    <w:rsid w:val="00BD340F"/>
    <w:rsid w:val="00BD46E7"/>
    <w:rsid w:val="00BE61A5"/>
    <w:rsid w:val="00BF32A2"/>
    <w:rsid w:val="00BF680E"/>
    <w:rsid w:val="00C00572"/>
    <w:rsid w:val="00C0214C"/>
    <w:rsid w:val="00C02344"/>
    <w:rsid w:val="00C06684"/>
    <w:rsid w:val="00C12F4C"/>
    <w:rsid w:val="00C167A3"/>
    <w:rsid w:val="00C2348F"/>
    <w:rsid w:val="00C25EE9"/>
    <w:rsid w:val="00C30D79"/>
    <w:rsid w:val="00C31D1B"/>
    <w:rsid w:val="00C338DA"/>
    <w:rsid w:val="00C36880"/>
    <w:rsid w:val="00C36ADE"/>
    <w:rsid w:val="00C47D43"/>
    <w:rsid w:val="00C47FAE"/>
    <w:rsid w:val="00C5319B"/>
    <w:rsid w:val="00C6052D"/>
    <w:rsid w:val="00C60B8B"/>
    <w:rsid w:val="00C61836"/>
    <w:rsid w:val="00C65AFA"/>
    <w:rsid w:val="00C67F4D"/>
    <w:rsid w:val="00C740E0"/>
    <w:rsid w:val="00C76319"/>
    <w:rsid w:val="00C8210A"/>
    <w:rsid w:val="00C83984"/>
    <w:rsid w:val="00C84C32"/>
    <w:rsid w:val="00C903F7"/>
    <w:rsid w:val="00CA2413"/>
    <w:rsid w:val="00CA3133"/>
    <w:rsid w:val="00CB4F2D"/>
    <w:rsid w:val="00CC3136"/>
    <w:rsid w:val="00CC6153"/>
    <w:rsid w:val="00CD04CC"/>
    <w:rsid w:val="00CD0E3B"/>
    <w:rsid w:val="00CD1133"/>
    <w:rsid w:val="00CD1524"/>
    <w:rsid w:val="00CD1E71"/>
    <w:rsid w:val="00CD4A7C"/>
    <w:rsid w:val="00CD4C7B"/>
    <w:rsid w:val="00CE6D42"/>
    <w:rsid w:val="00CF053C"/>
    <w:rsid w:val="00CF35D6"/>
    <w:rsid w:val="00CF6581"/>
    <w:rsid w:val="00D000DE"/>
    <w:rsid w:val="00D02286"/>
    <w:rsid w:val="00D027BE"/>
    <w:rsid w:val="00D07CEC"/>
    <w:rsid w:val="00D107F9"/>
    <w:rsid w:val="00D10D36"/>
    <w:rsid w:val="00D12458"/>
    <w:rsid w:val="00D142A9"/>
    <w:rsid w:val="00D1652A"/>
    <w:rsid w:val="00D1699D"/>
    <w:rsid w:val="00D203FF"/>
    <w:rsid w:val="00D2040C"/>
    <w:rsid w:val="00D26EF8"/>
    <w:rsid w:val="00D26F70"/>
    <w:rsid w:val="00D2746C"/>
    <w:rsid w:val="00D4333F"/>
    <w:rsid w:val="00D47A29"/>
    <w:rsid w:val="00D51E55"/>
    <w:rsid w:val="00D55380"/>
    <w:rsid w:val="00D6056B"/>
    <w:rsid w:val="00D648A1"/>
    <w:rsid w:val="00D7089D"/>
    <w:rsid w:val="00D71900"/>
    <w:rsid w:val="00D7615B"/>
    <w:rsid w:val="00D80F58"/>
    <w:rsid w:val="00D82A8F"/>
    <w:rsid w:val="00D83C1C"/>
    <w:rsid w:val="00D91733"/>
    <w:rsid w:val="00D927B6"/>
    <w:rsid w:val="00D958C5"/>
    <w:rsid w:val="00DA13A8"/>
    <w:rsid w:val="00DA4353"/>
    <w:rsid w:val="00DA5906"/>
    <w:rsid w:val="00DB7514"/>
    <w:rsid w:val="00DC04D3"/>
    <w:rsid w:val="00DC5047"/>
    <w:rsid w:val="00DC52F4"/>
    <w:rsid w:val="00DD386E"/>
    <w:rsid w:val="00DD57D0"/>
    <w:rsid w:val="00DD7E67"/>
    <w:rsid w:val="00DE3B2F"/>
    <w:rsid w:val="00DF097C"/>
    <w:rsid w:val="00DF0A17"/>
    <w:rsid w:val="00DF282C"/>
    <w:rsid w:val="00DF5B26"/>
    <w:rsid w:val="00E0177C"/>
    <w:rsid w:val="00E02BF1"/>
    <w:rsid w:val="00E12612"/>
    <w:rsid w:val="00E13E82"/>
    <w:rsid w:val="00E14099"/>
    <w:rsid w:val="00E16049"/>
    <w:rsid w:val="00E16699"/>
    <w:rsid w:val="00E16D6E"/>
    <w:rsid w:val="00E17DB7"/>
    <w:rsid w:val="00E32D3F"/>
    <w:rsid w:val="00E3325D"/>
    <w:rsid w:val="00E33915"/>
    <w:rsid w:val="00E37F92"/>
    <w:rsid w:val="00E41B32"/>
    <w:rsid w:val="00E423B5"/>
    <w:rsid w:val="00E43F09"/>
    <w:rsid w:val="00E51CDC"/>
    <w:rsid w:val="00E5588F"/>
    <w:rsid w:val="00E61024"/>
    <w:rsid w:val="00E61961"/>
    <w:rsid w:val="00E640EC"/>
    <w:rsid w:val="00E76C60"/>
    <w:rsid w:val="00E76C6B"/>
    <w:rsid w:val="00E80119"/>
    <w:rsid w:val="00E84679"/>
    <w:rsid w:val="00E8474C"/>
    <w:rsid w:val="00E94317"/>
    <w:rsid w:val="00EA42AD"/>
    <w:rsid w:val="00EA6A74"/>
    <w:rsid w:val="00EB2508"/>
    <w:rsid w:val="00EB340A"/>
    <w:rsid w:val="00EB6AC0"/>
    <w:rsid w:val="00EB70D6"/>
    <w:rsid w:val="00EC051C"/>
    <w:rsid w:val="00EC4B31"/>
    <w:rsid w:val="00EC78E5"/>
    <w:rsid w:val="00ED2E96"/>
    <w:rsid w:val="00EE5B9F"/>
    <w:rsid w:val="00EE7CFF"/>
    <w:rsid w:val="00F33B42"/>
    <w:rsid w:val="00F37441"/>
    <w:rsid w:val="00F41C3B"/>
    <w:rsid w:val="00F51367"/>
    <w:rsid w:val="00F56389"/>
    <w:rsid w:val="00F70185"/>
    <w:rsid w:val="00F800BE"/>
    <w:rsid w:val="00F913CD"/>
    <w:rsid w:val="00F92F49"/>
    <w:rsid w:val="00F93D26"/>
    <w:rsid w:val="00F959C4"/>
    <w:rsid w:val="00F95ABB"/>
    <w:rsid w:val="00FA25BD"/>
    <w:rsid w:val="00FB36AF"/>
    <w:rsid w:val="00FB37D2"/>
    <w:rsid w:val="00FB7A04"/>
    <w:rsid w:val="00FD0BA0"/>
    <w:rsid w:val="00FE125B"/>
    <w:rsid w:val="00FE1890"/>
    <w:rsid w:val="00FE2C82"/>
    <w:rsid w:val="00FE4E0A"/>
    <w:rsid w:val="00FE59EE"/>
    <w:rsid w:val="00FF10CC"/>
    <w:rsid w:val="00FF3592"/>
    <w:rsid w:val="00FF3A2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BE2911-69E5-44CC-862C-8309B948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rsid w:val="005D29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D2930"/>
    <w:pPr>
      <w:keepNext/>
      <w:keepLines/>
      <w:spacing w:before="200" w:after="0"/>
      <w:outlineLvl w:val="1"/>
    </w:pPr>
    <w:rPr>
      <w:rFonts w:ascii="Times New Roman" w:eastAsia="Times New Roman" w:hAnsi="Times New Roman" w:cs="Times New Roman"/>
      <w:color w:val="2E74B5"/>
      <w:sz w:val="26"/>
      <w:szCs w:val="26"/>
    </w:rPr>
  </w:style>
  <w:style w:type="paragraph" w:styleId="Heading3">
    <w:name w:val="heading 3"/>
    <w:basedOn w:val="Normal"/>
    <w:next w:val="Normal"/>
    <w:link w:val="Heading3Char"/>
    <w:uiPriority w:val="9"/>
    <w:unhideWhenUsed/>
    <w:qFormat/>
    <w:rsid w:val="005F6AA0"/>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5D2930"/>
    <w:pPr>
      <w:keepNext/>
      <w:keepLines/>
      <w:spacing w:before="200" w:after="0"/>
      <w:outlineLvl w:val="3"/>
    </w:pPr>
    <w:rPr>
      <w:rFonts w:ascii="Times New Roman" w:eastAsia="Times New Roman" w:hAnsi="Times New Roman" w:cs="Times New Roman"/>
      <w:i/>
      <w:iCs/>
      <w:color w:val="2E74B5"/>
    </w:rPr>
  </w:style>
  <w:style w:type="paragraph" w:styleId="Heading6">
    <w:name w:val="heading 6"/>
    <w:basedOn w:val="Normal"/>
    <w:link w:val="Heading6Char"/>
    <w:uiPriority w:val="9"/>
    <w:qFormat/>
    <w:rsid w:val="005D2930"/>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1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77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8A0330"/>
    <w:pPr>
      <w:spacing w:after="0" w:line="240" w:lineRule="auto"/>
    </w:pPr>
    <w:rPr>
      <w:sz w:val="20"/>
      <w:szCs w:val="20"/>
    </w:rPr>
  </w:style>
  <w:style w:type="character" w:customStyle="1" w:styleId="FootnoteTextChar">
    <w:name w:val="Footnote Text Char"/>
    <w:basedOn w:val="DefaultParagraphFont"/>
    <w:link w:val="FootnoteText"/>
    <w:uiPriority w:val="99"/>
    <w:rsid w:val="008A0330"/>
    <w:rPr>
      <w:sz w:val="20"/>
      <w:szCs w:val="20"/>
    </w:rPr>
  </w:style>
  <w:style w:type="character" w:styleId="FootnoteReference">
    <w:name w:val="footnote reference"/>
    <w:aliases w:val="ftref,16 Point,Superscript 6 Point"/>
    <w:basedOn w:val="DefaultParagraphFont"/>
    <w:uiPriority w:val="99"/>
    <w:unhideWhenUsed/>
    <w:rsid w:val="008A0330"/>
    <w:rPr>
      <w:vertAlign w:val="superscript"/>
    </w:rPr>
  </w:style>
  <w:style w:type="paragraph" w:styleId="ListParagraph">
    <w:name w:val="List Paragraph"/>
    <w:basedOn w:val="Normal"/>
    <w:link w:val="ListParagraphChar"/>
    <w:uiPriority w:val="34"/>
    <w:qFormat/>
    <w:rsid w:val="008A0330"/>
    <w:pPr>
      <w:ind w:left="720"/>
      <w:contextualSpacing/>
    </w:pPr>
  </w:style>
  <w:style w:type="character" w:customStyle="1" w:styleId="Heading3Char">
    <w:name w:val="Heading 3 Char"/>
    <w:basedOn w:val="DefaultParagraphFont"/>
    <w:link w:val="Heading3"/>
    <w:uiPriority w:val="9"/>
    <w:rsid w:val="005F6AA0"/>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CA31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133"/>
  </w:style>
  <w:style w:type="paragraph" w:styleId="Footer">
    <w:name w:val="footer"/>
    <w:basedOn w:val="Normal"/>
    <w:link w:val="FooterChar"/>
    <w:uiPriority w:val="99"/>
    <w:unhideWhenUsed/>
    <w:rsid w:val="00CA31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133"/>
  </w:style>
  <w:style w:type="table" w:customStyle="1" w:styleId="TableGrid2">
    <w:name w:val="Table Grid2"/>
    <w:basedOn w:val="TableNormal"/>
    <w:next w:val="TableGrid"/>
    <w:uiPriority w:val="59"/>
    <w:rsid w:val="006B0123"/>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Normal"/>
    <w:next w:val="Normal"/>
    <w:link w:val="Heading1Char"/>
    <w:uiPriority w:val="9"/>
    <w:qFormat/>
    <w:rsid w:val="005D2930"/>
    <w:pPr>
      <w:keepNext/>
      <w:keepLines/>
      <w:spacing w:before="240" w:after="0" w:line="259" w:lineRule="auto"/>
      <w:outlineLvl w:val="0"/>
    </w:pPr>
    <w:rPr>
      <w:rFonts w:ascii="Times New Roman" w:eastAsia="Times New Roman" w:hAnsi="Times New Roman" w:cs="Times New Roman"/>
      <w:color w:val="2E74B5"/>
      <w:sz w:val="32"/>
      <w:szCs w:val="32"/>
    </w:rPr>
  </w:style>
  <w:style w:type="paragraph" w:customStyle="1" w:styleId="Heading21">
    <w:name w:val="Heading 21"/>
    <w:basedOn w:val="Normal"/>
    <w:next w:val="Normal"/>
    <w:uiPriority w:val="9"/>
    <w:semiHidden/>
    <w:unhideWhenUsed/>
    <w:qFormat/>
    <w:rsid w:val="005D2930"/>
    <w:pPr>
      <w:keepNext/>
      <w:keepLines/>
      <w:spacing w:before="40" w:after="0" w:line="259" w:lineRule="auto"/>
      <w:outlineLvl w:val="1"/>
    </w:pPr>
    <w:rPr>
      <w:rFonts w:ascii="Times New Roman" w:eastAsia="Times New Roman" w:hAnsi="Times New Roman" w:cs="Times New Roman"/>
      <w:color w:val="2E74B5"/>
      <w:sz w:val="26"/>
      <w:szCs w:val="26"/>
    </w:rPr>
  </w:style>
  <w:style w:type="paragraph" w:customStyle="1" w:styleId="Heading41">
    <w:name w:val="Heading 41"/>
    <w:basedOn w:val="Normal"/>
    <w:next w:val="Normal"/>
    <w:uiPriority w:val="9"/>
    <w:semiHidden/>
    <w:unhideWhenUsed/>
    <w:qFormat/>
    <w:rsid w:val="005D2930"/>
    <w:pPr>
      <w:keepNext/>
      <w:keepLines/>
      <w:spacing w:before="40" w:after="0" w:line="259" w:lineRule="auto"/>
      <w:outlineLvl w:val="3"/>
    </w:pPr>
    <w:rPr>
      <w:rFonts w:ascii="Times New Roman" w:eastAsia="Times New Roman" w:hAnsi="Times New Roman" w:cs="Times New Roman"/>
      <w:i/>
      <w:iCs/>
      <w:color w:val="2E74B5"/>
    </w:rPr>
  </w:style>
  <w:style w:type="character" w:customStyle="1" w:styleId="Heading6Char">
    <w:name w:val="Heading 6 Char"/>
    <w:basedOn w:val="DefaultParagraphFont"/>
    <w:link w:val="Heading6"/>
    <w:uiPriority w:val="9"/>
    <w:rsid w:val="005D2930"/>
    <w:rPr>
      <w:rFonts w:ascii="Times New Roman" w:eastAsia="Times New Roman" w:hAnsi="Times New Roman" w:cs="Times New Roman"/>
      <w:b/>
      <w:bCs/>
      <w:sz w:val="15"/>
      <w:szCs w:val="15"/>
    </w:rPr>
  </w:style>
  <w:style w:type="numbering" w:customStyle="1" w:styleId="NoList1">
    <w:name w:val="No List1"/>
    <w:next w:val="NoList"/>
    <w:uiPriority w:val="99"/>
    <w:semiHidden/>
    <w:unhideWhenUsed/>
    <w:rsid w:val="005D2930"/>
  </w:style>
  <w:style w:type="paragraph" w:styleId="BodyText">
    <w:name w:val="Body Text"/>
    <w:basedOn w:val="Normal"/>
    <w:link w:val="BodyTextChar"/>
    <w:uiPriority w:val="1"/>
    <w:qFormat/>
    <w:rsid w:val="005D2930"/>
    <w:pPr>
      <w:widowControl w:val="0"/>
      <w:autoSpaceDE w:val="0"/>
      <w:autoSpaceDN w:val="0"/>
      <w:spacing w:before="120" w:after="0" w:line="240" w:lineRule="auto"/>
      <w:ind w:left="161"/>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5D2930"/>
    <w:rPr>
      <w:rFonts w:ascii="Times New Roman" w:eastAsia="Times New Roman" w:hAnsi="Times New Roman" w:cs="Times New Roman"/>
      <w:sz w:val="28"/>
      <w:szCs w:val="28"/>
    </w:rPr>
  </w:style>
  <w:style w:type="character" w:customStyle="1" w:styleId="Hyperlink1">
    <w:name w:val="Hyperlink1"/>
    <w:basedOn w:val="DefaultParagraphFont"/>
    <w:uiPriority w:val="99"/>
    <w:unhideWhenUsed/>
    <w:rsid w:val="005D2930"/>
    <w:rPr>
      <w:color w:val="0563C1"/>
      <w:u w:val="single"/>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5D29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llowedHyperlink1">
    <w:name w:val="FollowedHyperlink1"/>
    <w:basedOn w:val="DefaultParagraphFont"/>
    <w:uiPriority w:val="99"/>
    <w:semiHidden/>
    <w:unhideWhenUsed/>
    <w:rsid w:val="005D2930"/>
    <w:rPr>
      <w:color w:val="954F72"/>
      <w:u w:val="single"/>
    </w:rPr>
  </w:style>
  <w:style w:type="paragraph" w:styleId="BalloonText">
    <w:name w:val="Balloon Text"/>
    <w:basedOn w:val="Normal"/>
    <w:link w:val="BalloonTextChar"/>
    <w:uiPriority w:val="99"/>
    <w:semiHidden/>
    <w:unhideWhenUsed/>
    <w:rsid w:val="005D29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930"/>
    <w:rPr>
      <w:rFonts w:ascii="Segoe UI" w:hAnsi="Segoe UI" w:cs="Segoe UI"/>
      <w:sz w:val="18"/>
      <w:szCs w:val="18"/>
    </w:rPr>
  </w:style>
  <w:style w:type="character" w:customStyle="1" w:styleId="hps">
    <w:name w:val="hps"/>
    <w:basedOn w:val="DefaultParagraphFont"/>
    <w:rsid w:val="005D2930"/>
  </w:style>
  <w:style w:type="character" w:customStyle="1" w:styleId="Heading1Char">
    <w:name w:val="Heading 1 Char"/>
    <w:basedOn w:val="DefaultParagraphFont"/>
    <w:link w:val="Heading11"/>
    <w:uiPriority w:val="9"/>
    <w:rsid w:val="005D2930"/>
    <w:rPr>
      <w:rFonts w:ascii="Times New Roman" w:eastAsia="Times New Roman" w:hAnsi="Times New Roman" w:cs="Times New Roman"/>
      <w:color w:val="2E74B5"/>
      <w:sz w:val="32"/>
      <w:szCs w:val="32"/>
    </w:rPr>
  </w:style>
  <w:style w:type="paragraph" w:styleId="TOC1">
    <w:name w:val="toc 1"/>
    <w:basedOn w:val="Normal"/>
    <w:next w:val="Normal"/>
    <w:autoRedefine/>
    <w:uiPriority w:val="39"/>
    <w:unhideWhenUsed/>
    <w:rsid w:val="005D2930"/>
    <w:pPr>
      <w:spacing w:after="100" w:line="259" w:lineRule="auto"/>
    </w:pPr>
  </w:style>
  <w:style w:type="paragraph" w:styleId="TOC2">
    <w:name w:val="toc 2"/>
    <w:basedOn w:val="Normal"/>
    <w:next w:val="Normal"/>
    <w:autoRedefine/>
    <w:uiPriority w:val="39"/>
    <w:unhideWhenUsed/>
    <w:rsid w:val="005D2930"/>
    <w:pPr>
      <w:tabs>
        <w:tab w:val="right" w:leader="dot" w:pos="9170"/>
      </w:tabs>
      <w:spacing w:after="0" w:line="360" w:lineRule="auto"/>
      <w:ind w:left="220"/>
    </w:pPr>
  </w:style>
  <w:style w:type="paragraph" w:styleId="TOC3">
    <w:name w:val="toc 3"/>
    <w:basedOn w:val="Normal"/>
    <w:next w:val="Normal"/>
    <w:autoRedefine/>
    <w:uiPriority w:val="39"/>
    <w:unhideWhenUsed/>
    <w:rsid w:val="005D2930"/>
    <w:pPr>
      <w:tabs>
        <w:tab w:val="right" w:leader="dot" w:pos="9170"/>
      </w:tabs>
      <w:spacing w:after="0" w:line="360" w:lineRule="auto"/>
      <w:ind w:left="440"/>
    </w:pPr>
    <w:rPr>
      <w:rFonts w:ascii="Times New Roman" w:hAnsi="Times New Roman" w:cs="Times New Roman"/>
      <w:noProof/>
      <w:spacing w:val="4"/>
      <w:sz w:val="28"/>
      <w:szCs w:val="28"/>
    </w:rPr>
  </w:style>
  <w:style w:type="character" w:customStyle="1" w:styleId="Heading4Char">
    <w:name w:val="Heading 4 Char"/>
    <w:basedOn w:val="DefaultParagraphFont"/>
    <w:link w:val="Heading4"/>
    <w:uiPriority w:val="9"/>
    <w:semiHidden/>
    <w:rsid w:val="005D2930"/>
    <w:rPr>
      <w:rFonts w:ascii="Times New Roman" w:eastAsia="Times New Roman" w:hAnsi="Times New Roman" w:cs="Times New Roman"/>
      <w:i/>
      <w:iCs/>
      <w:color w:val="2E74B5"/>
    </w:rPr>
  </w:style>
  <w:style w:type="character" w:customStyle="1" w:styleId="Heading2Char">
    <w:name w:val="Heading 2 Char"/>
    <w:basedOn w:val="DefaultParagraphFont"/>
    <w:link w:val="Heading2"/>
    <w:uiPriority w:val="9"/>
    <w:semiHidden/>
    <w:rsid w:val="005D2930"/>
    <w:rPr>
      <w:rFonts w:ascii="Times New Roman" w:eastAsia="Times New Roman" w:hAnsi="Times New Roman" w:cs="Times New Roman"/>
      <w:color w:val="2E74B5"/>
      <w:sz w:val="26"/>
      <w:szCs w:val="26"/>
    </w:rPr>
  </w:style>
  <w:style w:type="character" w:customStyle="1" w:styleId="Heading1Char1">
    <w:name w:val="Heading 1 Char1"/>
    <w:basedOn w:val="DefaultParagraphFont"/>
    <w:link w:val="Heading1"/>
    <w:uiPriority w:val="9"/>
    <w:rsid w:val="005D293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5D2930"/>
    <w:pPr>
      <w:spacing w:before="240" w:line="259" w:lineRule="auto"/>
      <w:outlineLvl w:val="9"/>
    </w:pPr>
    <w:rPr>
      <w:b w:val="0"/>
      <w:bCs w:val="0"/>
      <w:sz w:val="32"/>
      <w:szCs w:val="32"/>
    </w:rPr>
  </w:style>
  <w:style w:type="paragraph" w:styleId="TOC4">
    <w:name w:val="toc 4"/>
    <w:basedOn w:val="Normal"/>
    <w:next w:val="Normal"/>
    <w:autoRedefine/>
    <w:uiPriority w:val="39"/>
    <w:unhideWhenUsed/>
    <w:rsid w:val="005D2930"/>
    <w:pPr>
      <w:spacing w:after="100" w:line="259" w:lineRule="auto"/>
      <w:ind w:left="660"/>
    </w:pPr>
  </w:style>
  <w:style w:type="paragraph" w:customStyle="1" w:styleId="TOC51">
    <w:name w:val="TOC 51"/>
    <w:basedOn w:val="Normal"/>
    <w:next w:val="Normal"/>
    <w:autoRedefine/>
    <w:uiPriority w:val="39"/>
    <w:unhideWhenUsed/>
    <w:rsid w:val="005D2930"/>
    <w:pPr>
      <w:spacing w:after="100" w:line="259" w:lineRule="auto"/>
      <w:ind w:left="880"/>
    </w:pPr>
    <w:rPr>
      <w:rFonts w:eastAsia="Times New Roman"/>
    </w:rPr>
  </w:style>
  <w:style w:type="paragraph" w:customStyle="1" w:styleId="TOC61">
    <w:name w:val="TOC 61"/>
    <w:basedOn w:val="Normal"/>
    <w:next w:val="Normal"/>
    <w:autoRedefine/>
    <w:uiPriority w:val="39"/>
    <w:unhideWhenUsed/>
    <w:rsid w:val="005D2930"/>
    <w:pPr>
      <w:spacing w:after="100" w:line="259" w:lineRule="auto"/>
      <w:ind w:left="1100"/>
    </w:pPr>
    <w:rPr>
      <w:rFonts w:eastAsia="Times New Roman"/>
    </w:rPr>
  </w:style>
  <w:style w:type="paragraph" w:customStyle="1" w:styleId="TOC71">
    <w:name w:val="TOC 71"/>
    <w:basedOn w:val="Normal"/>
    <w:next w:val="Normal"/>
    <w:autoRedefine/>
    <w:uiPriority w:val="39"/>
    <w:unhideWhenUsed/>
    <w:rsid w:val="005D2930"/>
    <w:pPr>
      <w:spacing w:after="100" w:line="259" w:lineRule="auto"/>
      <w:ind w:left="1320"/>
    </w:pPr>
    <w:rPr>
      <w:rFonts w:eastAsia="Times New Roman"/>
    </w:rPr>
  </w:style>
  <w:style w:type="paragraph" w:customStyle="1" w:styleId="TOC81">
    <w:name w:val="TOC 81"/>
    <w:basedOn w:val="Normal"/>
    <w:next w:val="Normal"/>
    <w:autoRedefine/>
    <w:uiPriority w:val="39"/>
    <w:unhideWhenUsed/>
    <w:rsid w:val="005D2930"/>
    <w:pPr>
      <w:spacing w:after="100" w:line="259" w:lineRule="auto"/>
      <w:ind w:left="1540"/>
    </w:pPr>
    <w:rPr>
      <w:rFonts w:eastAsia="Times New Roman"/>
    </w:rPr>
  </w:style>
  <w:style w:type="paragraph" w:customStyle="1" w:styleId="TOC91">
    <w:name w:val="TOC 91"/>
    <w:basedOn w:val="Normal"/>
    <w:next w:val="Normal"/>
    <w:autoRedefine/>
    <w:uiPriority w:val="39"/>
    <w:unhideWhenUsed/>
    <w:rsid w:val="005D2930"/>
    <w:pPr>
      <w:spacing w:after="100" w:line="259" w:lineRule="auto"/>
      <w:ind w:left="1760"/>
    </w:pPr>
    <w:rPr>
      <w:rFonts w:eastAsia="Times New Roman"/>
    </w:rPr>
  </w:style>
  <w:style w:type="character" w:styleId="CommentReference">
    <w:name w:val="annotation reference"/>
    <w:basedOn w:val="DefaultParagraphFont"/>
    <w:uiPriority w:val="99"/>
    <w:semiHidden/>
    <w:unhideWhenUsed/>
    <w:rsid w:val="005D2930"/>
    <w:rPr>
      <w:sz w:val="16"/>
      <w:szCs w:val="16"/>
    </w:rPr>
  </w:style>
  <w:style w:type="paragraph" w:styleId="CommentText">
    <w:name w:val="annotation text"/>
    <w:basedOn w:val="Normal"/>
    <w:link w:val="CommentTextChar"/>
    <w:uiPriority w:val="99"/>
    <w:semiHidden/>
    <w:unhideWhenUsed/>
    <w:rsid w:val="005D2930"/>
    <w:pPr>
      <w:spacing w:line="240" w:lineRule="auto"/>
    </w:pPr>
    <w:rPr>
      <w:sz w:val="20"/>
      <w:szCs w:val="20"/>
      <w:lang w:val="vi-VN"/>
    </w:rPr>
  </w:style>
  <w:style w:type="character" w:customStyle="1" w:styleId="CommentTextChar">
    <w:name w:val="Comment Text Char"/>
    <w:basedOn w:val="DefaultParagraphFont"/>
    <w:link w:val="CommentText"/>
    <w:uiPriority w:val="99"/>
    <w:semiHidden/>
    <w:rsid w:val="005D2930"/>
    <w:rPr>
      <w:sz w:val="20"/>
      <w:szCs w:val="20"/>
      <w:lang w:val="vi-VN"/>
    </w:rPr>
  </w:style>
  <w:style w:type="character" w:customStyle="1" w:styleId="apple-converted-space">
    <w:name w:val="apple-converted-space"/>
    <w:basedOn w:val="DefaultParagraphFont"/>
    <w:rsid w:val="005D2930"/>
  </w:style>
  <w:style w:type="character" w:customStyle="1" w:styleId="y2iqfc">
    <w:name w:val="y2iqfc"/>
    <w:basedOn w:val="DefaultParagraphFont"/>
    <w:rsid w:val="005D2930"/>
  </w:style>
  <w:style w:type="table" w:customStyle="1" w:styleId="TableGrid3">
    <w:name w:val="Table Grid3"/>
    <w:basedOn w:val="TableNormal"/>
    <w:next w:val="TableGrid"/>
    <w:uiPriority w:val="59"/>
    <w:rsid w:val="005D2930"/>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5D2930"/>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D2930"/>
    <w:rPr>
      <w:color w:val="0000FF" w:themeColor="hyperlink"/>
      <w:u w:val="single"/>
    </w:rPr>
  </w:style>
  <w:style w:type="character" w:styleId="FollowedHyperlink">
    <w:name w:val="FollowedHyperlink"/>
    <w:basedOn w:val="DefaultParagraphFont"/>
    <w:uiPriority w:val="99"/>
    <w:semiHidden/>
    <w:unhideWhenUsed/>
    <w:rsid w:val="005D2930"/>
    <w:rPr>
      <w:color w:val="800080" w:themeColor="followedHyperlink"/>
      <w:u w:val="single"/>
    </w:rPr>
  </w:style>
  <w:style w:type="character" w:customStyle="1" w:styleId="Heading4Char1">
    <w:name w:val="Heading 4 Char1"/>
    <w:basedOn w:val="DefaultParagraphFont"/>
    <w:uiPriority w:val="9"/>
    <w:semiHidden/>
    <w:rsid w:val="005D2930"/>
    <w:rPr>
      <w:rFonts w:asciiTheme="majorHAnsi" w:eastAsiaTheme="majorEastAsia" w:hAnsiTheme="majorHAnsi" w:cstheme="majorBidi"/>
      <w:b/>
      <w:bCs/>
      <w:i/>
      <w:iCs/>
      <w:color w:val="4F81BD" w:themeColor="accent1"/>
    </w:rPr>
  </w:style>
  <w:style w:type="character" w:customStyle="1" w:styleId="Heading2Char1">
    <w:name w:val="Heading 2 Char1"/>
    <w:basedOn w:val="DefaultParagraphFont"/>
    <w:uiPriority w:val="9"/>
    <w:semiHidden/>
    <w:rsid w:val="005D2930"/>
    <w:rPr>
      <w:rFonts w:asciiTheme="majorHAnsi" w:eastAsiaTheme="majorEastAsia" w:hAnsiTheme="majorHAnsi" w:cstheme="majorBidi"/>
      <w:b/>
      <w:bCs/>
      <w:color w:val="4F81BD" w:themeColor="accent1"/>
      <w:sz w:val="26"/>
      <w:szCs w:val="26"/>
    </w:rPr>
  </w:style>
  <w:style w:type="numbering" w:customStyle="1" w:styleId="NoList2">
    <w:name w:val="No List2"/>
    <w:next w:val="NoList"/>
    <w:uiPriority w:val="99"/>
    <w:semiHidden/>
    <w:unhideWhenUsed/>
    <w:rsid w:val="00A735F3"/>
  </w:style>
  <w:style w:type="paragraph" w:customStyle="1" w:styleId="TOC52">
    <w:name w:val="TOC 52"/>
    <w:basedOn w:val="Normal"/>
    <w:next w:val="Normal"/>
    <w:autoRedefine/>
    <w:uiPriority w:val="39"/>
    <w:unhideWhenUsed/>
    <w:rsid w:val="00A735F3"/>
    <w:pPr>
      <w:spacing w:after="100" w:line="259" w:lineRule="auto"/>
      <w:ind w:left="880"/>
    </w:pPr>
    <w:rPr>
      <w:rFonts w:eastAsia="Times New Roman"/>
    </w:rPr>
  </w:style>
  <w:style w:type="paragraph" w:customStyle="1" w:styleId="TOC62">
    <w:name w:val="TOC 62"/>
    <w:basedOn w:val="Normal"/>
    <w:next w:val="Normal"/>
    <w:autoRedefine/>
    <w:uiPriority w:val="39"/>
    <w:unhideWhenUsed/>
    <w:rsid w:val="00A735F3"/>
    <w:pPr>
      <w:spacing w:after="100" w:line="259" w:lineRule="auto"/>
      <w:ind w:left="1100"/>
    </w:pPr>
    <w:rPr>
      <w:rFonts w:eastAsia="Times New Roman"/>
    </w:rPr>
  </w:style>
  <w:style w:type="paragraph" w:customStyle="1" w:styleId="TOC72">
    <w:name w:val="TOC 72"/>
    <w:basedOn w:val="Normal"/>
    <w:next w:val="Normal"/>
    <w:autoRedefine/>
    <w:uiPriority w:val="39"/>
    <w:unhideWhenUsed/>
    <w:rsid w:val="00A735F3"/>
    <w:pPr>
      <w:spacing w:after="100" w:line="259" w:lineRule="auto"/>
      <w:ind w:left="1320"/>
    </w:pPr>
    <w:rPr>
      <w:rFonts w:eastAsia="Times New Roman"/>
    </w:rPr>
  </w:style>
  <w:style w:type="paragraph" w:customStyle="1" w:styleId="TOC82">
    <w:name w:val="TOC 82"/>
    <w:basedOn w:val="Normal"/>
    <w:next w:val="Normal"/>
    <w:autoRedefine/>
    <w:uiPriority w:val="39"/>
    <w:unhideWhenUsed/>
    <w:rsid w:val="00A735F3"/>
    <w:pPr>
      <w:spacing w:after="100" w:line="259" w:lineRule="auto"/>
      <w:ind w:left="1540"/>
    </w:pPr>
    <w:rPr>
      <w:rFonts w:eastAsia="Times New Roman"/>
    </w:rPr>
  </w:style>
  <w:style w:type="paragraph" w:customStyle="1" w:styleId="TOC92">
    <w:name w:val="TOC 92"/>
    <w:basedOn w:val="Normal"/>
    <w:next w:val="Normal"/>
    <w:autoRedefine/>
    <w:uiPriority w:val="39"/>
    <w:unhideWhenUsed/>
    <w:rsid w:val="00A735F3"/>
    <w:pPr>
      <w:spacing w:after="100" w:line="259" w:lineRule="auto"/>
      <w:ind w:left="1760"/>
    </w:pPr>
    <w:rPr>
      <w:rFonts w:eastAsia="Times New Roman"/>
    </w:rPr>
  </w:style>
  <w:style w:type="table" w:customStyle="1" w:styleId="TableGrid4">
    <w:name w:val="Table Grid4"/>
    <w:basedOn w:val="TableNormal"/>
    <w:next w:val="TableGrid"/>
    <w:uiPriority w:val="59"/>
    <w:rsid w:val="00A735F3"/>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DE3B2F"/>
    <w:pPr>
      <w:spacing w:after="0" w:line="240" w:lineRule="auto"/>
      <w:ind w:firstLine="720"/>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DE3B2F"/>
    <w:pPr>
      <w:spacing w:after="0" w:line="240" w:lineRule="auto"/>
      <w:ind w:firstLine="720"/>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D43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E0177C"/>
    <w:pPr>
      <w:pBdr>
        <w:top w:val="nil"/>
        <w:left w:val="nil"/>
        <w:bottom w:val="nil"/>
        <w:right w:val="nil"/>
        <w:between w:val="nil"/>
        <w:bar w:val="nil"/>
      </w:pBdr>
      <w:spacing w:after="0" w:line="240" w:lineRule="auto"/>
    </w:pPr>
    <w:rPr>
      <w:rFonts w:ascii="Times New Roman" w:eastAsia="Times New Roman" w:hAnsi="Times New Roman" w:cs="Times New Roman"/>
      <w:sz w:val="20"/>
      <w:szCs w:val="20"/>
      <w:bdr w:val="nil"/>
      <w:lang w:eastAsia="ko-KR"/>
    </w:rPr>
    <w:tblPr>
      <w:tblInd w:w="0" w:type="dxa"/>
      <w:tblCellMar>
        <w:top w:w="0" w:type="dxa"/>
        <w:left w:w="0" w:type="dxa"/>
        <w:bottom w:w="0" w:type="dxa"/>
        <w:right w:w="0" w:type="dxa"/>
      </w:tblCellMar>
    </w:tblPr>
  </w:style>
  <w:style w:type="table" w:customStyle="1" w:styleId="TableGrid5">
    <w:name w:val="Table Grid5"/>
    <w:basedOn w:val="TableNormal"/>
    <w:next w:val="TableGrid"/>
    <w:uiPriority w:val="59"/>
    <w:rsid w:val="006A18D8"/>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D4C7B"/>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F1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F16B7"/>
    <w:rPr>
      <w:rFonts w:ascii="Courier New" w:eastAsia="Times New Roman" w:hAnsi="Courier New" w:cs="Courier New"/>
      <w:sz w:val="20"/>
      <w:szCs w:val="20"/>
    </w:rPr>
  </w:style>
  <w:style w:type="paragraph" w:styleId="CommentSubject">
    <w:name w:val="annotation subject"/>
    <w:basedOn w:val="CommentText"/>
    <w:next w:val="CommentText"/>
    <w:link w:val="CommentSubjectChar"/>
    <w:uiPriority w:val="99"/>
    <w:semiHidden/>
    <w:unhideWhenUsed/>
    <w:rsid w:val="004B41AF"/>
    <w:rPr>
      <w:b/>
      <w:bCs/>
      <w:lang w:val="en-US"/>
    </w:rPr>
  </w:style>
  <w:style w:type="character" w:customStyle="1" w:styleId="CommentSubjectChar">
    <w:name w:val="Comment Subject Char"/>
    <w:basedOn w:val="CommentTextChar"/>
    <w:link w:val="CommentSubject"/>
    <w:uiPriority w:val="99"/>
    <w:semiHidden/>
    <w:rsid w:val="004B41AF"/>
    <w:rPr>
      <w:b/>
      <w:bCs/>
      <w:sz w:val="20"/>
      <w:szCs w:val="20"/>
      <w:lang w:val="vi-VN"/>
    </w:rPr>
  </w:style>
  <w:style w:type="paragraph" w:styleId="Caption">
    <w:name w:val="caption"/>
    <w:basedOn w:val="Normal"/>
    <w:next w:val="Normal"/>
    <w:uiPriority w:val="35"/>
    <w:unhideWhenUsed/>
    <w:qFormat/>
    <w:rsid w:val="00BD2D33"/>
    <w:pPr>
      <w:keepNext/>
      <w:spacing w:after="0" w:line="240" w:lineRule="auto"/>
      <w:jc w:val="both"/>
    </w:pPr>
    <w:rPr>
      <w:rFonts w:ascii="Arial" w:hAnsi="Calibri" w:cs="Angsana New"/>
      <w:b/>
      <w:bCs/>
      <w:color w:val="4F81BD" w:themeColor="accent1"/>
      <w:lang w:val="vi-VN" w:bidi="th-TH"/>
    </w:rPr>
  </w:style>
  <w:style w:type="paragraph" w:styleId="NoSpacing">
    <w:name w:val="No Spacing"/>
    <w:uiPriority w:val="1"/>
    <w:qFormat/>
    <w:rsid w:val="00BD2D33"/>
    <w:pPr>
      <w:spacing w:after="0" w:line="240" w:lineRule="auto"/>
    </w:pPr>
    <w:rPr>
      <w:szCs w:val="28"/>
      <w:lang w:val="vi-VN" w:bidi="th-TH"/>
    </w:rPr>
  </w:style>
  <w:style w:type="paragraph" w:customStyle="1" w:styleId="a">
    <w:name w:val="표내용"/>
    <w:qFormat/>
    <w:rsid w:val="00BD2D33"/>
    <w:pPr>
      <w:widowControl w:val="0"/>
      <w:wordWrap w:val="0"/>
      <w:autoSpaceDE w:val="0"/>
      <w:autoSpaceDN w:val="0"/>
      <w:snapToGrid w:val="0"/>
      <w:spacing w:after="0" w:line="240" w:lineRule="auto"/>
      <w:jc w:val="both"/>
    </w:pPr>
    <w:rPr>
      <w:rFonts w:ascii="HCI Tulip" w:eastAsia="Gulim" w:hAnsi="Arial Unicode MS" w:cs="Gulim"/>
      <w:color w:val="000000"/>
      <w:spacing w:val="-4"/>
      <w:w w:val="95"/>
      <w:sz w:val="20"/>
      <w:szCs w:val="20"/>
      <w:lang w:val="en-GB" w:eastAsia="ja-JP"/>
    </w:rPr>
  </w:style>
  <w:style w:type="paragraph" w:customStyle="1" w:styleId="Footnotes">
    <w:name w:val="Footnotes"/>
    <w:basedOn w:val="FootnoteText"/>
    <w:link w:val="FootnotesChar"/>
    <w:autoRedefine/>
    <w:qFormat/>
    <w:rsid w:val="003609FB"/>
    <w:rPr>
      <w:rFonts w:ascii="Times New Roman" w:eastAsia="Calibri" w:hAnsi="Times New Roman" w:cs="Times New Roman"/>
      <w:sz w:val="18"/>
    </w:rPr>
  </w:style>
  <w:style w:type="character" w:customStyle="1" w:styleId="FootnotesChar">
    <w:name w:val="Footnotes Char"/>
    <w:basedOn w:val="FootnoteTextChar"/>
    <w:link w:val="Footnotes"/>
    <w:rsid w:val="003609FB"/>
    <w:rPr>
      <w:rFonts w:ascii="Times New Roman" w:eastAsia="Calibri" w:hAnsi="Times New Roman" w:cs="Times New Roman"/>
      <w:sz w:val="18"/>
      <w:szCs w:val="20"/>
    </w:rPr>
  </w:style>
  <w:style w:type="paragraph" w:styleId="EndnoteText">
    <w:name w:val="endnote text"/>
    <w:basedOn w:val="Normal"/>
    <w:link w:val="EndnoteTextChar"/>
    <w:uiPriority w:val="99"/>
    <w:semiHidden/>
    <w:unhideWhenUsed/>
    <w:rsid w:val="001F3F2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3F26"/>
    <w:rPr>
      <w:sz w:val="20"/>
      <w:szCs w:val="20"/>
    </w:rPr>
  </w:style>
  <w:style w:type="character" w:styleId="EndnoteReference">
    <w:name w:val="endnote reference"/>
    <w:basedOn w:val="DefaultParagraphFont"/>
    <w:uiPriority w:val="99"/>
    <w:semiHidden/>
    <w:unhideWhenUsed/>
    <w:rsid w:val="001F3F26"/>
    <w:rPr>
      <w:vertAlign w:val="superscript"/>
    </w:rPr>
  </w:style>
  <w:style w:type="character" w:customStyle="1" w:styleId="ListParagraphChar">
    <w:name w:val="List Paragraph Char"/>
    <w:link w:val="ListParagraph"/>
    <w:uiPriority w:val="34"/>
    <w:locked/>
    <w:rsid w:val="002F3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596801">
      <w:bodyDiv w:val="1"/>
      <w:marLeft w:val="0"/>
      <w:marRight w:val="0"/>
      <w:marTop w:val="0"/>
      <w:marBottom w:val="0"/>
      <w:divBdr>
        <w:top w:val="none" w:sz="0" w:space="0" w:color="auto"/>
        <w:left w:val="none" w:sz="0" w:space="0" w:color="auto"/>
        <w:bottom w:val="none" w:sz="0" w:space="0" w:color="auto"/>
        <w:right w:val="none" w:sz="0" w:space="0" w:color="auto"/>
      </w:divBdr>
      <w:divsChild>
        <w:div w:id="789325332">
          <w:marLeft w:val="0"/>
          <w:marRight w:val="0"/>
          <w:marTop w:val="0"/>
          <w:marBottom w:val="150"/>
          <w:divBdr>
            <w:top w:val="none" w:sz="0" w:space="0" w:color="auto"/>
            <w:left w:val="none" w:sz="0" w:space="0" w:color="auto"/>
            <w:bottom w:val="none" w:sz="0" w:space="0" w:color="auto"/>
            <w:right w:val="none" w:sz="0" w:space="0" w:color="auto"/>
          </w:divBdr>
        </w:div>
        <w:div w:id="1921400874">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cis.ier.hit-u.ac.jp/Common/pdf/dp/2010/dp496.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moh.gov.s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Mic</b:Tag>
    <b:SourceType>Misc</b:SourceType>
    <b:Guid>{E611EAE3-8762-4360-AD5D-65742ACB6A21}</b:Guid>
    <b:Author>
      <b:Author>
        <b:NameList>
          <b:Person>
            <b:Last>Cichon</b:Last>
            <b:First>Michael</b:First>
          </b:Person>
          <b:Person>
            <b:Last>Peyron-Bista</b:Last>
            <b:First>Celine</b:First>
          </b:Person>
          <b:Person>
            <b:Last>Clay</b:Last>
            <b:First>Timothy</b:First>
          </b:Person>
          <b:Person>
            <b:Last>nghiên_cứu_chưa_công_bố</b:Last>
          </b:Person>
        </b:NameList>
      </b:Author>
    </b:Author>
    <b:Title>Options for the Reform of the Social Insurance Scheme in Vietnam</b:Title>
    <b:Year>2017</b:Year>
    <b:RefOrder>3</b:RefOrder>
  </b:Source>
</b:Sources>
</file>

<file path=customXml/itemProps1.xml><?xml version="1.0" encoding="utf-8"?>
<ds:datastoreItem xmlns:ds="http://schemas.openxmlformats.org/officeDocument/2006/customXml" ds:itemID="{B9F3A47A-1004-4A05-A2FB-18336EC94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17655</Words>
  <Characters>100638</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Thuy Trang</dc:creator>
  <cp:lastModifiedBy>GiangPT</cp:lastModifiedBy>
  <cp:revision>2</cp:revision>
  <cp:lastPrinted>2021-08-27T07:55:00Z</cp:lastPrinted>
  <dcterms:created xsi:type="dcterms:W3CDTF">2023-05-31T03:04:00Z</dcterms:created>
  <dcterms:modified xsi:type="dcterms:W3CDTF">2023-05-31T03:04:00Z</dcterms:modified>
</cp:coreProperties>
</file>